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FE" w:rsidRDefault="00B70AFE" w:rsidP="003F1A5A">
      <w:pPr>
        <w:jc w:val="center"/>
        <w:rPr>
          <w:b/>
          <w:bCs/>
          <w:sz w:val="32"/>
          <w:szCs w:val="32"/>
          <w:lang w:val="en-US"/>
        </w:rPr>
      </w:pPr>
    </w:p>
    <w:p w:rsidR="003F1A5A" w:rsidRPr="003C5498" w:rsidRDefault="003F1A5A" w:rsidP="003F1A5A">
      <w:pPr>
        <w:jc w:val="center"/>
        <w:rPr>
          <w:b/>
          <w:bCs/>
          <w:sz w:val="32"/>
          <w:szCs w:val="32"/>
          <w:lang w:val="en-US"/>
        </w:rPr>
      </w:pPr>
      <w:r w:rsidRPr="003C5498">
        <w:rPr>
          <w:b/>
          <w:bCs/>
          <w:sz w:val="32"/>
          <w:szCs w:val="32"/>
          <w:lang w:val="en-US"/>
        </w:rPr>
        <w:t>Social Change</w:t>
      </w:r>
      <w:r w:rsidR="00B70AFE">
        <w:rPr>
          <w:b/>
          <w:bCs/>
          <w:sz w:val="32"/>
          <w:szCs w:val="32"/>
          <w:lang w:val="en-US"/>
        </w:rPr>
        <w:t xml:space="preserve">: What is it and </w:t>
      </w:r>
      <w:proofErr w:type="gramStart"/>
      <w:r w:rsidR="00B70AFE">
        <w:rPr>
          <w:b/>
          <w:bCs/>
          <w:sz w:val="32"/>
          <w:szCs w:val="32"/>
          <w:lang w:val="en-US"/>
        </w:rPr>
        <w:t>How</w:t>
      </w:r>
      <w:proofErr w:type="gramEnd"/>
      <w:r w:rsidR="00B70AFE">
        <w:rPr>
          <w:b/>
          <w:bCs/>
          <w:sz w:val="32"/>
          <w:szCs w:val="32"/>
          <w:lang w:val="en-US"/>
        </w:rPr>
        <w:t xml:space="preserve"> does it Happen?</w:t>
      </w:r>
    </w:p>
    <w:p w:rsidR="003F1A5A" w:rsidRPr="003C5498" w:rsidRDefault="003F1A5A" w:rsidP="003F1A5A">
      <w:pPr>
        <w:jc w:val="center"/>
        <w:rPr>
          <w:sz w:val="28"/>
          <w:szCs w:val="28"/>
          <w:lang w:val="en-US"/>
        </w:rPr>
      </w:pPr>
    </w:p>
    <w:p w:rsidR="003F1A5A" w:rsidRPr="00855AEA" w:rsidRDefault="00B70AFE" w:rsidP="003F1A5A">
      <w:pPr>
        <w:jc w:val="center"/>
        <w:rPr>
          <w:szCs w:val="24"/>
          <w:lang w:val="en-US"/>
        </w:rPr>
      </w:pPr>
      <w:r>
        <w:rPr>
          <w:szCs w:val="24"/>
          <w:lang w:val="en-US"/>
        </w:rPr>
        <w:t xml:space="preserve">The Ohio State University - </w:t>
      </w:r>
      <w:r w:rsidR="003F1A5A" w:rsidRPr="00855AEA">
        <w:rPr>
          <w:szCs w:val="24"/>
          <w:lang w:val="en-US"/>
        </w:rPr>
        <w:t>First Year Seminar</w:t>
      </w:r>
    </w:p>
    <w:p w:rsidR="003F1A5A" w:rsidRDefault="003F1A5A" w:rsidP="00B70AFE">
      <w:pPr>
        <w:rPr>
          <w:szCs w:val="24"/>
          <w:lang w:val="en-US"/>
        </w:rPr>
      </w:pPr>
    </w:p>
    <w:p w:rsidR="00B70AFE" w:rsidRPr="00855AEA" w:rsidRDefault="00B70AFE" w:rsidP="00B70AFE">
      <w:pPr>
        <w:rPr>
          <w:szCs w:val="24"/>
          <w:lang w:val="en-US"/>
        </w:rPr>
      </w:pPr>
    </w:p>
    <w:p w:rsidR="003F1A5A" w:rsidRPr="00855AEA" w:rsidRDefault="003F1A5A" w:rsidP="003F1A5A">
      <w:pPr>
        <w:ind w:left="720" w:hanging="720"/>
        <w:jc w:val="left"/>
        <w:rPr>
          <w:b/>
          <w:i/>
          <w:szCs w:val="24"/>
          <w:lang w:val="en-US"/>
        </w:rPr>
      </w:pPr>
      <w:r w:rsidRPr="00855AEA">
        <w:rPr>
          <w:b/>
          <w:i/>
          <w:szCs w:val="24"/>
          <w:lang w:val="en-US"/>
        </w:rPr>
        <w:t>Course Number:</w:t>
      </w:r>
      <w:r w:rsidRPr="00855AEA">
        <w:rPr>
          <w:b/>
          <w:i/>
          <w:szCs w:val="24"/>
          <w:lang w:val="en-US"/>
        </w:rPr>
        <w:tab/>
      </w:r>
      <w:r w:rsidRPr="00855AEA">
        <w:rPr>
          <w:b/>
          <w:i/>
          <w:szCs w:val="24"/>
          <w:lang w:val="en-US"/>
        </w:rPr>
        <w:tab/>
      </w:r>
      <w:r w:rsidRPr="00855AEA">
        <w:rPr>
          <w:szCs w:val="24"/>
          <w:lang w:val="en-US"/>
        </w:rPr>
        <w:t xml:space="preserve">TBD (One credit hour, </w:t>
      </w:r>
      <w:r w:rsidR="00882826">
        <w:rPr>
          <w:szCs w:val="24"/>
          <w:lang w:val="en-US"/>
        </w:rPr>
        <w:t>A-E</w:t>
      </w:r>
      <w:r w:rsidRPr="00855AEA">
        <w:rPr>
          <w:szCs w:val="24"/>
          <w:lang w:val="en-US"/>
        </w:rPr>
        <w:t>)</w:t>
      </w:r>
    </w:p>
    <w:p w:rsidR="003F1A5A" w:rsidRPr="00855AEA" w:rsidRDefault="003F1A5A" w:rsidP="003F1A5A">
      <w:pPr>
        <w:jc w:val="left"/>
        <w:rPr>
          <w:szCs w:val="24"/>
          <w:lang w:val="en-US"/>
        </w:rPr>
      </w:pPr>
      <w:r w:rsidRPr="00855AEA">
        <w:rPr>
          <w:b/>
          <w:i/>
          <w:szCs w:val="24"/>
          <w:lang w:val="en-US"/>
        </w:rPr>
        <w:t>Instructor:</w:t>
      </w:r>
      <w:r w:rsidRPr="00855AEA">
        <w:rPr>
          <w:szCs w:val="24"/>
          <w:lang w:val="en-US"/>
        </w:rPr>
        <w:t xml:space="preserve"> </w:t>
      </w:r>
      <w:r w:rsidRPr="00855AEA">
        <w:rPr>
          <w:szCs w:val="24"/>
          <w:lang w:val="en-US"/>
        </w:rPr>
        <w:tab/>
      </w:r>
      <w:r w:rsidRPr="00855AEA">
        <w:rPr>
          <w:szCs w:val="24"/>
          <w:lang w:val="en-US"/>
        </w:rPr>
        <w:tab/>
      </w:r>
      <w:r w:rsidRPr="00855AEA">
        <w:rPr>
          <w:szCs w:val="24"/>
          <w:lang w:val="en-US"/>
        </w:rPr>
        <w:tab/>
        <w:t xml:space="preserve">Leslie </w:t>
      </w:r>
      <w:proofErr w:type="spellStart"/>
      <w:r w:rsidRPr="00855AEA">
        <w:rPr>
          <w:szCs w:val="24"/>
          <w:lang w:val="en-US"/>
        </w:rPr>
        <w:t>MacColman</w:t>
      </w:r>
      <w:proofErr w:type="spellEnd"/>
      <w:r w:rsidRPr="00855AEA">
        <w:rPr>
          <w:szCs w:val="24"/>
          <w:lang w:val="en-US"/>
        </w:rPr>
        <w:t>, PhD</w:t>
      </w:r>
      <w:r w:rsidRPr="00855AEA">
        <w:rPr>
          <w:b/>
          <w:i/>
          <w:szCs w:val="24"/>
          <w:lang w:val="en-US"/>
        </w:rPr>
        <w:t xml:space="preserve">, </w:t>
      </w:r>
      <w:hyperlink r:id="rId5" w:history="1">
        <w:r w:rsidRPr="00855AEA">
          <w:rPr>
            <w:rStyle w:val="Hyperlink"/>
            <w:szCs w:val="24"/>
            <w:lang w:val="en-US"/>
          </w:rPr>
          <w:t>maccolman.2@osu.edu</w:t>
        </w:r>
      </w:hyperlink>
      <w:r w:rsidRPr="00855AEA">
        <w:rPr>
          <w:szCs w:val="24"/>
          <w:lang w:val="en-US"/>
        </w:rPr>
        <w:t xml:space="preserve"> </w:t>
      </w:r>
    </w:p>
    <w:p w:rsidR="003F1A5A" w:rsidRPr="00855AEA" w:rsidRDefault="003F1A5A" w:rsidP="003F1A5A">
      <w:pPr>
        <w:jc w:val="left"/>
        <w:rPr>
          <w:szCs w:val="24"/>
          <w:lang w:val="en-US"/>
        </w:rPr>
      </w:pPr>
      <w:r w:rsidRPr="00855AEA">
        <w:rPr>
          <w:b/>
          <w:i/>
          <w:szCs w:val="24"/>
          <w:lang w:val="en-US"/>
        </w:rPr>
        <w:t>Class Meetings:</w:t>
      </w:r>
      <w:r w:rsidRPr="00855AEA">
        <w:rPr>
          <w:szCs w:val="24"/>
          <w:lang w:val="en-US"/>
        </w:rPr>
        <w:t xml:space="preserve"> </w:t>
      </w:r>
      <w:r w:rsidRPr="00855AEA">
        <w:rPr>
          <w:szCs w:val="24"/>
          <w:lang w:val="en-US"/>
        </w:rPr>
        <w:tab/>
      </w:r>
      <w:r w:rsidRPr="00855AEA">
        <w:rPr>
          <w:szCs w:val="24"/>
          <w:lang w:val="en-US"/>
        </w:rPr>
        <w:tab/>
      </w:r>
      <w:r w:rsidR="00CC7390">
        <w:rPr>
          <w:szCs w:val="24"/>
          <w:lang w:val="en-US"/>
        </w:rPr>
        <w:t xml:space="preserve">Once weekly for 55 minutes. </w:t>
      </w:r>
      <w:r w:rsidRPr="00855AEA">
        <w:rPr>
          <w:szCs w:val="24"/>
          <w:lang w:val="en-US"/>
        </w:rPr>
        <w:t>Date</w:t>
      </w:r>
      <w:r w:rsidR="00CC7390">
        <w:rPr>
          <w:szCs w:val="24"/>
          <w:lang w:val="en-US"/>
        </w:rPr>
        <w:t>s</w:t>
      </w:r>
      <w:r w:rsidRPr="00855AEA">
        <w:rPr>
          <w:szCs w:val="24"/>
          <w:lang w:val="en-US"/>
        </w:rPr>
        <w:t>, time</w:t>
      </w:r>
      <w:r w:rsidR="00CC7390">
        <w:rPr>
          <w:szCs w:val="24"/>
          <w:lang w:val="en-US"/>
        </w:rPr>
        <w:t>s</w:t>
      </w:r>
      <w:r w:rsidRPr="00855AEA">
        <w:rPr>
          <w:szCs w:val="24"/>
          <w:lang w:val="en-US"/>
        </w:rPr>
        <w:t xml:space="preserve">, </w:t>
      </w:r>
      <w:r w:rsidR="00CC7390">
        <w:rPr>
          <w:szCs w:val="24"/>
          <w:lang w:val="en-US"/>
        </w:rPr>
        <w:t xml:space="preserve">and </w:t>
      </w:r>
      <w:r w:rsidRPr="00855AEA">
        <w:rPr>
          <w:szCs w:val="24"/>
          <w:lang w:val="en-US"/>
        </w:rPr>
        <w:t>location TBD</w:t>
      </w:r>
      <w:r w:rsidRPr="00855AEA">
        <w:rPr>
          <w:szCs w:val="24"/>
          <w:lang w:val="en-US"/>
        </w:rPr>
        <w:tab/>
      </w:r>
    </w:p>
    <w:p w:rsidR="003F1A5A" w:rsidRPr="00855AEA" w:rsidRDefault="003F1A5A" w:rsidP="003F1A5A">
      <w:pPr>
        <w:jc w:val="left"/>
        <w:rPr>
          <w:szCs w:val="24"/>
          <w:lang w:val="en-US"/>
        </w:rPr>
      </w:pPr>
    </w:p>
    <w:p w:rsidR="003F1A5A" w:rsidRPr="00855AEA" w:rsidRDefault="003F1A5A" w:rsidP="003F1A5A">
      <w:pPr>
        <w:jc w:val="left"/>
        <w:rPr>
          <w:b/>
          <w:color w:val="1F497D" w:themeColor="text2"/>
          <w:szCs w:val="24"/>
          <w:u w:val="single"/>
          <w:lang w:val="en-US"/>
        </w:rPr>
      </w:pPr>
    </w:p>
    <w:p w:rsidR="003F1A5A" w:rsidRPr="00855AEA" w:rsidRDefault="003F1A5A" w:rsidP="003F1A5A">
      <w:pPr>
        <w:jc w:val="left"/>
        <w:rPr>
          <w:szCs w:val="24"/>
          <w:lang w:val="en-US"/>
        </w:rPr>
      </w:pPr>
      <w:r w:rsidRPr="00855AEA">
        <w:rPr>
          <w:b/>
          <w:i/>
          <w:szCs w:val="24"/>
          <w:lang w:val="en-US"/>
        </w:rPr>
        <w:t>Course Description:</w:t>
      </w:r>
    </w:p>
    <w:p w:rsidR="00855AEA" w:rsidRPr="003C5498" w:rsidRDefault="00E12924" w:rsidP="00465D3C">
      <w:pPr>
        <w:pStyle w:val="NormalWeb"/>
      </w:pPr>
      <w:r w:rsidRPr="003C5498">
        <w:t xml:space="preserve">Social change is all around us. Sometimes it occurs slowly, almost imperceptibly. </w:t>
      </w:r>
      <w:r w:rsidR="006214BA">
        <w:t>At o</w:t>
      </w:r>
      <w:r w:rsidRPr="003C5498">
        <w:t>ther times, it occurs in rapid bursts, generating conflict</w:t>
      </w:r>
      <w:r w:rsidR="006214BA">
        <w:t>,</w:t>
      </w:r>
      <w:r w:rsidRPr="003C5498">
        <w:t xml:space="preserve"> resistance</w:t>
      </w:r>
      <w:r w:rsidR="006214BA">
        <w:t>, or even violence</w:t>
      </w:r>
      <w:r w:rsidR="00023D91" w:rsidRPr="003C5498">
        <w:t>. However</w:t>
      </w:r>
      <w:r w:rsidRPr="003C5498">
        <w:t xml:space="preserve">, we rarely pause to consider </w:t>
      </w:r>
      <w:r w:rsidR="00023D91" w:rsidRPr="003C5498">
        <w:t>what</w:t>
      </w:r>
      <w:r w:rsidRPr="003C5498">
        <w:t xml:space="preserve"> social change actually is, how it </w:t>
      </w:r>
      <w:r w:rsidR="00023D91" w:rsidRPr="003C5498">
        <w:t>occurs</w:t>
      </w:r>
      <w:r w:rsidRPr="003C5498">
        <w:t xml:space="preserve">, and </w:t>
      </w:r>
      <w:r w:rsidR="009B74D0">
        <w:t>how we</w:t>
      </w:r>
      <w:r w:rsidR="00023D91" w:rsidRPr="003C5498">
        <w:t xml:space="preserve">, as individuals, </w:t>
      </w:r>
      <w:r w:rsidR="009B74D0">
        <w:t>contribute to it</w:t>
      </w:r>
      <w:r w:rsidRPr="003C5498">
        <w:t xml:space="preserve">. In this seminar, we will </w:t>
      </w:r>
      <w:r w:rsidR="00691AD5" w:rsidRPr="003C5498">
        <w:t>examine the</w:t>
      </w:r>
      <w:r w:rsidR="00023D91" w:rsidRPr="003C5498">
        <w:t xml:space="preserve"> social change from the perspective of </w:t>
      </w:r>
      <w:r w:rsidR="00D14840">
        <w:t>s</w:t>
      </w:r>
      <w:r w:rsidR="00023D91" w:rsidRPr="003C5498">
        <w:t>ociology and related social science disciplines, in order to understand how chang</w:t>
      </w:r>
      <w:r w:rsidR="00882826" w:rsidRPr="003C5498">
        <w:t>ing patterns of</w:t>
      </w:r>
      <w:r w:rsidR="00023D91" w:rsidRPr="003C5498">
        <w:t xml:space="preserve"> human interaction can </w:t>
      </w:r>
      <w:r w:rsidR="00691AD5" w:rsidRPr="003C5498">
        <w:t>produce</w:t>
      </w:r>
      <w:r w:rsidR="00882826" w:rsidRPr="003C5498">
        <w:t xml:space="preserve"> profound</w:t>
      </w:r>
      <w:r w:rsidR="00023D91" w:rsidRPr="003C5498">
        <w:t xml:space="preserve"> societ</w:t>
      </w:r>
      <w:r w:rsidR="00882826" w:rsidRPr="003C5498">
        <w:t>al transformations</w:t>
      </w:r>
      <w:r w:rsidR="00023D91" w:rsidRPr="003C5498">
        <w:t xml:space="preserve">. </w:t>
      </w:r>
      <w:r w:rsidR="00882826" w:rsidRPr="003C5498">
        <w:t xml:space="preserve">We will </w:t>
      </w:r>
      <w:r w:rsidR="00691AD5" w:rsidRPr="003C5498">
        <w:t>explore the</w:t>
      </w:r>
      <w:r w:rsidR="00882826" w:rsidRPr="003C5498">
        <w:t xml:space="preserve"> causes, consequences, and dynamics of large-scale</w:t>
      </w:r>
      <w:r w:rsidR="00691AD5" w:rsidRPr="003C5498">
        <w:t xml:space="preserve"> social change</w:t>
      </w:r>
      <w:r w:rsidR="004C588F" w:rsidRPr="003C5498">
        <w:t xml:space="preserve">, in the US and globally. </w:t>
      </w:r>
      <w:r w:rsidR="009B74D0">
        <w:t xml:space="preserve">We will learn about the concepts and theories used by </w:t>
      </w:r>
      <w:r w:rsidR="004C588F" w:rsidRPr="003C5498">
        <w:t xml:space="preserve">researchers </w:t>
      </w:r>
      <w:r w:rsidR="009B74D0">
        <w:t>to explain social change and apply them to make sense of the world around us</w:t>
      </w:r>
      <w:r w:rsidR="00D14840">
        <w:t xml:space="preserve">. Among other topics, we will </w:t>
      </w:r>
      <w:r w:rsidR="009B74D0">
        <w:t>examin</w:t>
      </w:r>
      <w:r w:rsidR="00D14840">
        <w:t>e</w:t>
      </w:r>
      <w:r w:rsidR="009B74D0">
        <w:t xml:space="preserve"> phenomena like the rise of global capitalism, </w:t>
      </w:r>
      <w:r w:rsidR="00D14840">
        <w:rPr>
          <w:shd w:val="clear" w:color="auto" w:fill="FFFFFF"/>
        </w:rPr>
        <w:t>the growth of minority populations in the US</w:t>
      </w:r>
      <w:r w:rsidR="004C588F" w:rsidRPr="003C5498">
        <w:rPr>
          <w:shd w:val="clear" w:color="auto" w:fill="FFFFFF"/>
        </w:rPr>
        <w:t xml:space="preserve">, </w:t>
      </w:r>
      <w:r w:rsidR="00D14840">
        <w:rPr>
          <w:shd w:val="clear" w:color="auto" w:fill="FFFFFF"/>
        </w:rPr>
        <w:t>vaccine skepticism, the civil rights movement</w:t>
      </w:r>
      <w:r w:rsidR="004C588F" w:rsidRPr="003C5498">
        <w:rPr>
          <w:shd w:val="clear" w:color="auto" w:fill="FFFFFF"/>
        </w:rPr>
        <w:t xml:space="preserve">, </w:t>
      </w:r>
      <w:r w:rsidR="00D14840">
        <w:rPr>
          <w:shd w:val="clear" w:color="auto" w:fill="FFFFFF"/>
        </w:rPr>
        <w:t>transnational networks, and international development cooperation</w:t>
      </w:r>
      <w:r w:rsidR="004C588F" w:rsidRPr="003C5498">
        <w:rPr>
          <w:shd w:val="clear" w:color="auto" w:fill="FFFFFF"/>
        </w:rPr>
        <w:t xml:space="preserve">. Last but not least, we will </w:t>
      </w:r>
      <w:r w:rsidR="00CC7390" w:rsidRPr="003C5498">
        <w:rPr>
          <w:shd w:val="clear" w:color="auto" w:fill="FFFFFF"/>
        </w:rPr>
        <w:t xml:space="preserve">consider how </w:t>
      </w:r>
      <w:r w:rsidR="00D14840">
        <w:rPr>
          <w:shd w:val="clear" w:color="auto" w:fill="FFFFFF"/>
        </w:rPr>
        <w:t>our academic, professional, and personal pathways can help</w:t>
      </w:r>
      <w:r w:rsidR="00CC7390" w:rsidRPr="003C5498">
        <w:rPr>
          <w:shd w:val="clear" w:color="auto" w:fill="FFFFFF"/>
        </w:rPr>
        <w:t xml:space="preserve"> us become agents of positive social change.  </w:t>
      </w:r>
    </w:p>
    <w:p w:rsidR="00855AEA" w:rsidRDefault="00855AEA" w:rsidP="00855AEA">
      <w:pPr>
        <w:pStyle w:val="NormalWeb"/>
        <w:rPr>
          <w:b/>
          <w:i/>
          <w:color w:val="000000"/>
        </w:rPr>
      </w:pPr>
      <w:r w:rsidRPr="00855AEA">
        <w:rPr>
          <w:b/>
          <w:i/>
          <w:color w:val="000000"/>
        </w:rPr>
        <w:t>Course Objectives</w:t>
      </w:r>
    </w:p>
    <w:p w:rsidR="00385CE4" w:rsidRPr="00385CE4" w:rsidRDefault="00385CE4" w:rsidP="00B70AFE">
      <w:pPr>
        <w:pStyle w:val="NormalWeb"/>
        <w:spacing w:before="0" w:beforeAutospacing="0" w:after="0" w:afterAutospacing="0"/>
        <w:rPr>
          <w:color w:val="000000"/>
        </w:rPr>
      </w:pPr>
      <w:r>
        <w:rPr>
          <w:color w:val="000000"/>
        </w:rPr>
        <w:t>By the end of this course, each student will:</w:t>
      </w:r>
    </w:p>
    <w:p w:rsidR="00855AEA" w:rsidRPr="00855AEA" w:rsidRDefault="00385CE4" w:rsidP="00B70AFE">
      <w:pPr>
        <w:pStyle w:val="NormalWeb"/>
        <w:numPr>
          <w:ilvl w:val="0"/>
          <w:numId w:val="8"/>
        </w:numPr>
        <w:spacing w:before="0" w:beforeAutospacing="0" w:after="0" w:afterAutospacing="0"/>
        <w:rPr>
          <w:color w:val="000000"/>
        </w:rPr>
      </w:pPr>
      <w:r>
        <w:rPr>
          <w:color w:val="000000"/>
        </w:rPr>
        <w:t>Be able to</w:t>
      </w:r>
      <w:r w:rsidR="00855AEA">
        <w:rPr>
          <w:color w:val="000000"/>
        </w:rPr>
        <w:t xml:space="preserve"> think critica</w:t>
      </w:r>
      <w:r w:rsidR="00855AEA" w:rsidRPr="00855AEA">
        <w:rPr>
          <w:color w:val="000000"/>
        </w:rPr>
        <w:t>lly and analytically about social change processes, including their causes, consequences, and dynamics</w:t>
      </w:r>
    </w:p>
    <w:p w:rsidR="00855AEA" w:rsidRDefault="00385CE4" w:rsidP="00B70AFE">
      <w:pPr>
        <w:pStyle w:val="NormalWeb"/>
        <w:numPr>
          <w:ilvl w:val="0"/>
          <w:numId w:val="8"/>
        </w:numPr>
        <w:spacing w:before="0" w:beforeAutospacing="0" w:after="0" w:afterAutospacing="0"/>
        <w:rPr>
          <w:color w:val="000000"/>
        </w:rPr>
      </w:pPr>
      <w:r>
        <w:rPr>
          <w:color w:val="000000"/>
        </w:rPr>
        <w:t xml:space="preserve">Understand how </w:t>
      </w:r>
      <w:r w:rsidR="00D14840">
        <w:rPr>
          <w:color w:val="000000"/>
        </w:rPr>
        <w:t>s</w:t>
      </w:r>
      <w:r w:rsidR="00882826">
        <w:rPr>
          <w:color w:val="000000"/>
        </w:rPr>
        <w:t xml:space="preserve">ociology and other </w:t>
      </w:r>
      <w:r>
        <w:rPr>
          <w:color w:val="000000"/>
        </w:rPr>
        <w:t>social science disciplines engage with the topic of social change</w:t>
      </w:r>
    </w:p>
    <w:p w:rsidR="00385CE4" w:rsidRPr="00CC7390" w:rsidRDefault="00385CE4" w:rsidP="00B70AFE">
      <w:pPr>
        <w:pStyle w:val="NormalWeb"/>
        <w:numPr>
          <w:ilvl w:val="0"/>
          <w:numId w:val="8"/>
        </w:numPr>
        <w:spacing w:before="0" w:beforeAutospacing="0" w:after="0" w:afterAutospacing="0"/>
        <w:rPr>
          <w:color w:val="000000"/>
        </w:rPr>
      </w:pPr>
      <w:r>
        <w:rPr>
          <w:color w:val="000000"/>
        </w:rPr>
        <w:t xml:space="preserve">Have a clearer </w:t>
      </w:r>
      <w:r w:rsidR="00980553">
        <w:rPr>
          <w:color w:val="000000"/>
        </w:rPr>
        <w:t>vision</w:t>
      </w:r>
      <w:r>
        <w:rPr>
          <w:color w:val="000000"/>
        </w:rPr>
        <w:t xml:space="preserve"> of</w:t>
      </w:r>
      <w:r w:rsidRPr="00855AEA">
        <w:rPr>
          <w:color w:val="000000"/>
        </w:rPr>
        <w:t xml:space="preserve"> their desired future trajectory, including </w:t>
      </w:r>
      <w:r w:rsidR="00980553">
        <w:rPr>
          <w:color w:val="000000"/>
        </w:rPr>
        <w:t>academic pathways</w:t>
      </w:r>
      <w:r w:rsidRPr="00855AEA">
        <w:rPr>
          <w:color w:val="000000"/>
        </w:rPr>
        <w:t xml:space="preserve"> and other avenues for supporting positive social change</w:t>
      </w:r>
    </w:p>
    <w:p w:rsidR="00B70AFE" w:rsidRDefault="00B70AFE" w:rsidP="00385CE4">
      <w:pPr>
        <w:autoSpaceDE w:val="0"/>
        <w:autoSpaceDN w:val="0"/>
        <w:adjustRightInd w:val="0"/>
        <w:jc w:val="left"/>
        <w:rPr>
          <w:b/>
          <w:i/>
          <w:szCs w:val="24"/>
          <w:lang w:val="en-US" w:eastAsia="en-US"/>
        </w:rPr>
      </w:pPr>
    </w:p>
    <w:p w:rsidR="00CC7390" w:rsidRDefault="00CC7390" w:rsidP="00385CE4">
      <w:pPr>
        <w:autoSpaceDE w:val="0"/>
        <w:autoSpaceDN w:val="0"/>
        <w:adjustRightInd w:val="0"/>
        <w:jc w:val="left"/>
        <w:rPr>
          <w:b/>
          <w:i/>
          <w:szCs w:val="24"/>
          <w:lang w:val="en-US" w:eastAsia="en-US"/>
        </w:rPr>
      </w:pPr>
      <w:r>
        <w:rPr>
          <w:b/>
          <w:i/>
          <w:szCs w:val="24"/>
          <w:lang w:val="en-US" w:eastAsia="en-US"/>
        </w:rPr>
        <w:t>Course Dynamics</w:t>
      </w:r>
    </w:p>
    <w:p w:rsidR="00CC7390" w:rsidRDefault="00CC7390" w:rsidP="00385CE4">
      <w:pPr>
        <w:autoSpaceDE w:val="0"/>
        <w:autoSpaceDN w:val="0"/>
        <w:adjustRightInd w:val="0"/>
        <w:jc w:val="left"/>
        <w:rPr>
          <w:b/>
          <w:i/>
          <w:szCs w:val="24"/>
          <w:lang w:val="en-US" w:eastAsia="en-US"/>
        </w:rPr>
      </w:pPr>
    </w:p>
    <w:p w:rsidR="00CC7390" w:rsidRPr="00CC7390" w:rsidRDefault="00CC7390" w:rsidP="00385CE4">
      <w:pPr>
        <w:autoSpaceDE w:val="0"/>
        <w:autoSpaceDN w:val="0"/>
        <w:adjustRightInd w:val="0"/>
        <w:jc w:val="left"/>
        <w:rPr>
          <w:szCs w:val="24"/>
          <w:lang w:val="en-US" w:eastAsia="en-US"/>
        </w:rPr>
      </w:pPr>
      <w:r>
        <w:rPr>
          <w:szCs w:val="24"/>
          <w:lang w:val="en-US" w:eastAsia="en-US"/>
        </w:rPr>
        <w:t xml:space="preserve">We will meet </w:t>
      </w:r>
      <w:r w:rsidR="00293AC6">
        <w:rPr>
          <w:szCs w:val="24"/>
          <w:lang w:val="en-US" w:eastAsia="en-US"/>
        </w:rPr>
        <w:t>once weekly</w:t>
      </w:r>
      <w:r>
        <w:rPr>
          <w:szCs w:val="24"/>
          <w:lang w:val="en-US" w:eastAsia="en-US"/>
        </w:rPr>
        <w:t xml:space="preserve"> for 55 minutes. In most classes,</w:t>
      </w:r>
      <w:r w:rsidR="00C101B9">
        <w:rPr>
          <w:szCs w:val="24"/>
          <w:lang w:val="en-US" w:eastAsia="en-US"/>
        </w:rPr>
        <w:t xml:space="preserve"> I</w:t>
      </w:r>
      <w:r>
        <w:rPr>
          <w:szCs w:val="24"/>
          <w:lang w:val="en-US" w:eastAsia="en-US"/>
        </w:rPr>
        <w:t xml:space="preserve"> will </w:t>
      </w:r>
      <w:r w:rsidR="00293AC6">
        <w:rPr>
          <w:szCs w:val="24"/>
          <w:lang w:val="en-US" w:eastAsia="en-US"/>
        </w:rPr>
        <w:t>begin by giving</w:t>
      </w:r>
      <w:r>
        <w:rPr>
          <w:szCs w:val="24"/>
          <w:lang w:val="en-US" w:eastAsia="en-US"/>
        </w:rPr>
        <w:t xml:space="preserve"> a short lecture (10-15 minutes) </w:t>
      </w:r>
      <w:r w:rsidR="00C101B9">
        <w:rPr>
          <w:szCs w:val="24"/>
          <w:lang w:val="en-US" w:eastAsia="en-US"/>
        </w:rPr>
        <w:t>to outline</w:t>
      </w:r>
      <w:r>
        <w:rPr>
          <w:szCs w:val="24"/>
          <w:lang w:val="en-US" w:eastAsia="en-US"/>
        </w:rPr>
        <w:t xml:space="preserve"> </w:t>
      </w:r>
      <w:r w:rsidR="00C101B9">
        <w:rPr>
          <w:szCs w:val="24"/>
          <w:lang w:val="en-US" w:eastAsia="en-US"/>
        </w:rPr>
        <w:t xml:space="preserve">key concepts or discuss a specific case. </w:t>
      </w:r>
      <w:r w:rsidR="00D14840">
        <w:rPr>
          <w:szCs w:val="24"/>
          <w:lang w:val="en-US" w:eastAsia="en-US"/>
        </w:rPr>
        <w:t>However</w:t>
      </w:r>
      <w:r w:rsidR="00C101B9">
        <w:rPr>
          <w:szCs w:val="24"/>
          <w:lang w:val="en-US" w:eastAsia="en-US"/>
        </w:rPr>
        <w:t xml:space="preserve">, the </w:t>
      </w:r>
      <w:r>
        <w:rPr>
          <w:szCs w:val="24"/>
          <w:lang w:val="en-US" w:eastAsia="en-US"/>
        </w:rPr>
        <w:t xml:space="preserve">majority of our class time will be dedicated to discussion. </w:t>
      </w:r>
      <w:r w:rsidR="007D3958">
        <w:rPr>
          <w:szCs w:val="24"/>
          <w:lang w:val="en-US" w:eastAsia="en-US"/>
        </w:rPr>
        <w:t xml:space="preserve">All students are expected to come to class having read the assigned texts. Discussions </w:t>
      </w:r>
      <w:r w:rsidR="00C101B9">
        <w:rPr>
          <w:szCs w:val="24"/>
          <w:lang w:val="en-US" w:eastAsia="en-US"/>
        </w:rPr>
        <w:t>will be led by</w:t>
      </w:r>
      <w:r w:rsidR="007D3958">
        <w:rPr>
          <w:szCs w:val="24"/>
          <w:lang w:val="en-US" w:eastAsia="en-US"/>
        </w:rPr>
        <w:t xml:space="preserve"> a</w:t>
      </w:r>
      <w:r w:rsidR="00C101B9">
        <w:rPr>
          <w:szCs w:val="24"/>
          <w:lang w:val="en-US" w:eastAsia="en-US"/>
        </w:rPr>
        <w:t xml:space="preserve"> different group of students each week. </w:t>
      </w:r>
      <w:r w:rsidR="007D3958">
        <w:rPr>
          <w:szCs w:val="24"/>
          <w:lang w:val="en-US" w:eastAsia="en-US"/>
        </w:rPr>
        <w:t xml:space="preserve">Others </w:t>
      </w:r>
      <w:r w:rsidR="00C101B9">
        <w:rPr>
          <w:szCs w:val="24"/>
          <w:lang w:val="en-US" w:eastAsia="en-US"/>
        </w:rPr>
        <w:t xml:space="preserve">should come to class prepared to ask questions or </w:t>
      </w:r>
      <w:r w:rsidR="00293AC6">
        <w:rPr>
          <w:szCs w:val="24"/>
          <w:lang w:val="en-US" w:eastAsia="en-US"/>
        </w:rPr>
        <w:t>describe their</w:t>
      </w:r>
      <w:r w:rsidR="00C101B9">
        <w:rPr>
          <w:szCs w:val="24"/>
          <w:lang w:val="en-US" w:eastAsia="en-US"/>
        </w:rPr>
        <w:t xml:space="preserve"> reactions to </w:t>
      </w:r>
      <w:r w:rsidR="007D3958">
        <w:rPr>
          <w:szCs w:val="24"/>
          <w:lang w:val="en-US" w:eastAsia="en-US"/>
        </w:rPr>
        <w:t>the readings</w:t>
      </w:r>
    </w:p>
    <w:p w:rsidR="00CC7390" w:rsidRDefault="00CC7390" w:rsidP="00385CE4">
      <w:pPr>
        <w:autoSpaceDE w:val="0"/>
        <w:autoSpaceDN w:val="0"/>
        <w:adjustRightInd w:val="0"/>
        <w:jc w:val="left"/>
        <w:rPr>
          <w:b/>
          <w:i/>
          <w:szCs w:val="24"/>
          <w:lang w:val="en-US" w:eastAsia="en-US"/>
        </w:rPr>
      </w:pPr>
    </w:p>
    <w:p w:rsidR="003C5498" w:rsidRDefault="003C5498" w:rsidP="00385CE4">
      <w:pPr>
        <w:autoSpaceDE w:val="0"/>
        <w:autoSpaceDN w:val="0"/>
        <w:adjustRightInd w:val="0"/>
        <w:jc w:val="left"/>
        <w:rPr>
          <w:b/>
          <w:i/>
          <w:szCs w:val="24"/>
          <w:lang w:val="en-US" w:eastAsia="en-US"/>
        </w:rPr>
      </w:pPr>
      <w:r>
        <w:rPr>
          <w:b/>
          <w:i/>
          <w:szCs w:val="24"/>
          <w:lang w:val="en-US" w:eastAsia="en-US"/>
        </w:rPr>
        <w:lastRenderedPageBreak/>
        <w:t>Required Readings</w:t>
      </w:r>
    </w:p>
    <w:p w:rsidR="003C5498" w:rsidRDefault="003C5498" w:rsidP="00385CE4">
      <w:pPr>
        <w:autoSpaceDE w:val="0"/>
        <w:autoSpaceDN w:val="0"/>
        <w:adjustRightInd w:val="0"/>
        <w:jc w:val="left"/>
        <w:rPr>
          <w:b/>
          <w:i/>
          <w:szCs w:val="24"/>
          <w:lang w:val="en-US" w:eastAsia="en-US"/>
        </w:rPr>
      </w:pPr>
    </w:p>
    <w:p w:rsidR="003C5498" w:rsidRDefault="003C5498" w:rsidP="00385CE4">
      <w:pPr>
        <w:autoSpaceDE w:val="0"/>
        <w:autoSpaceDN w:val="0"/>
        <w:adjustRightInd w:val="0"/>
        <w:jc w:val="left"/>
        <w:rPr>
          <w:szCs w:val="24"/>
          <w:lang w:val="en-US" w:eastAsia="en-US"/>
        </w:rPr>
      </w:pPr>
      <w:r>
        <w:rPr>
          <w:szCs w:val="24"/>
          <w:lang w:val="en-US" w:eastAsia="en-US"/>
        </w:rPr>
        <w:t xml:space="preserve">Assigned readings </w:t>
      </w:r>
      <w:r w:rsidR="007D3958">
        <w:rPr>
          <w:szCs w:val="24"/>
          <w:lang w:val="en-US" w:eastAsia="en-US"/>
        </w:rPr>
        <w:t>consist of</w:t>
      </w:r>
      <w:r>
        <w:rPr>
          <w:szCs w:val="24"/>
          <w:lang w:val="en-US" w:eastAsia="en-US"/>
        </w:rPr>
        <w:t xml:space="preserve"> book chapters, academic articles, and long-format journalistic pieces</w:t>
      </w:r>
      <w:r w:rsidR="007D3958">
        <w:rPr>
          <w:szCs w:val="24"/>
          <w:lang w:val="en-US" w:eastAsia="en-US"/>
        </w:rPr>
        <w:t xml:space="preserve"> that address different aspects of social change. </w:t>
      </w:r>
      <w:r>
        <w:rPr>
          <w:szCs w:val="24"/>
          <w:lang w:val="en-US" w:eastAsia="en-US"/>
        </w:rPr>
        <w:t xml:space="preserve">Most of the texts </w:t>
      </w:r>
      <w:r w:rsidR="007D3958">
        <w:rPr>
          <w:szCs w:val="24"/>
          <w:lang w:val="en-US" w:eastAsia="en-US"/>
        </w:rPr>
        <w:t>are</w:t>
      </w:r>
      <w:r>
        <w:rPr>
          <w:szCs w:val="24"/>
          <w:lang w:val="en-US" w:eastAsia="en-US"/>
        </w:rPr>
        <w:t xml:space="preserve"> drawn from </w:t>
      </w:r>
      <w:r w:rsidR="007D3958">
        <w:rPr>
          <w:szCs w:val="24"/>
          <w:lang w:val="en-US" w:eastAsia="en-US"/>
        </w:rPr>
        <w:t>s</w:t>
      </w:r>
      <w:r>
        <w:rPr>
          <w:szCs w:val="24"/>
          <w:lang w:val="en-US" w:eastAsia="en-US"/>
        </w:rPr>
        <w:t xml:space="preserve">ociology, but some come from </w:t>
      </w:r>
      <w:r w:rsidR="007D3958">
        <w:rPr>
          <w:szCs w:val="24"/>
          <w:lang w:val="en-US" w:eastAsia="en-US"/>
        </w:rPr>
        <w:t>p</w:t>
      </w:r>
      <w:r>
        <w:rPr>
          <w:szCs w:val="24"/>
          <w:lang w:val="en-US" w:eastAsia="en-US"/>
        </w:rPr>
        <w:t xml:space="preserve">olitical </w:t>
      </w:r>
      <w:r w:rsidR="007D3958">
        <w:rPr>
          <w:szCs w:val="24"/>
          <w:lang w:val="en-US" w:eastAsia="en-US"/>
        </w:rPr>
        <w:t>s</w:t>
      </w:r>
      <w:r>
        <w:rPr>
          <w:szCs w:val="24"/>
          <w:lang w:val="en-US" w:eastAsia="en-US"/>
        </w:rPr>
        <w:t xml:space="preserve">cience, </w:t>
      </w:r>
      <w:r w:rsidR="007D3958">
        <w:rPr>
          <w:szCs w:val="24"/>
          <w:lang w:val="en-US" w:eastAsia="en-US"/>
        </w:rPr>
        <w:t>p</w:t>
      </w:r>
      <w:r>
        <w:rPr>
          <w:szCs w:val="24"/>
          <w:lang w:val="en-US" w:eastAsia="en-US"/>
        </w:rPr>
        <w:t xml:space="preserve">eace </w:t>
      </w:r>
      <w:r w:rsidR="007D3958">
        <w:rPr>
          <w:szCs w:val="24"/>
          <w:lang w:val="en-US" w:eastAsia="en-US"/>
        </w:rPr>
        <w:t>s</w:t>
      </w:r>
      <w:r>
        <w:rPr>
          <w:szCs w:val="24"/>
          <w:lang w:val="en-US" w:eastAsia="en-US"/>
        </w:rPr>
        <w:t xml:space="preserve">tudies, </w:t>
      </w:r>
      <w:r w:rsidR="007D3958">
        <w:rPr>
          <w:szCs w:val="24"/>
          <w:lang w:val="en-US" w:eastAsia="en-US"/>
        </w:rPr>
        <w:t>d</w:t>
      </w:r>
      <w:r>
        <w:rPr>
          <w:szCs w:val="24"/>
          <w:lang w:val="en-US" w:eastAsia="en-US"/>
        </w:rPr>
        <w:t xml:space="preserve">evelopment </w:t>
      </w:r>
      <w:r w:rsidR="007D3958">
        <w:rPr>
          <w:szCs w:val="24"/>
          <w:lang w:val="en-US" w:eastAsia="en-US"/>
        </w:rPr>
        <w:t>s</w:t>
      </w:r>
      <w:r>
        <w:rPr>
          <w:szCs w:val="24"/>
          <w:lang w:val="en-US" w:eastAsia="en-US"/>
        </w:rPr>
        <w:t xml:space="preserve">tudies, </w:t>
      </w:r>
      <w:r w:rsidR="00293AC6">
        <w:rPr>
          <w:szCs w:val="24"/>
          <w:lang w:val="en-US" w:eastAsia="en-US"/>
        </w:rPr>
        <w:t>or</w:t>
      </w:r>
      <w:r>
        <w:rPr>
          <w:szCs w:val="24"/>
          <w:lang w:val="en-US" w:eastAsia="en-US"/>
        </w:rPr>
        <w:t xml:space="preserve"> </w:t>
      </w:r>
      <w:r w:rsidR="007D3958">
        <w:rPr>
          <w:szCs w:val="24"/>
          <w:lang w:val="en-US" w:eastAsia="en-US"/>
        </w:rPr>
        <w:t>related fields</w:t>
      </w:r>
      <w:r>
        <w:rPr>
          <w:szCs w:val="24"/>
          <w:lang w:val="en-US" w:eastAsia="en-US"/>
        </w:rPr>
        <w:t xml:space="preserve">. </w:t>
      </w:r>
      <w:r w:rsidR="00293AC6">
        <w:rPr>
          <w:szCs w:val="24"/>
          <w:lang w:val="en-US" w:eastAsia="en-US"/>
        </w:rPr>
        <w:t>Weekly readings a</w:t>
      </w:r>
      <w:r w:rsidR="007D3958">
        <w:rPr>
          <w:szCs w:val="24"/>
          <w:lang w:val="en-US" w:eastAsia="en-US"/>
        </w:rPr>
        <w:t>re listed in the class outline. You do not need to purchase any books, since I will make all</w:t>
      </w:r>
      <w:r>
        <w:rPr>
          <w:szCs w:val="24"/>
          <w:lang w:val="en-US" w:eastAsia="en-US"/>
        </w:rPr>
        <w:t xml:space="preserve"> </w:t>
      </w:r>
      <w:r w:rsidR="007D3958">
        <w:rPr>
          <w:szCs w:val="24"/>
          <w:lang w:val="en-US" w:eastAsia="en-US"/>
        </w:rPr>
        <w:t>of the readings</w:t>
      </w:r>
      <w:r>
        <w:rPr>
          <w:szCs w:val="24"/>
          <w:lang w:val="en-US" w:eastAsia="en-US"/>
        </w:rPr>
        <w:t xml:space="preserve"> available on </w:t>
      </w:r>
      <w:r w:rsidR="00293AC6">
        <w:rPr>
          <w:szCs w:val="24"/>
          <w:lang w:val="en-US" w:eastAsia="en-US"/>
        </w:rPr>
        <w:t>Carmen</w:t>
      </w:r>
      <w:r w:rsidR="007D3958">
        <w:rPr>
          <w:szCs w:val="24"/>
          <w:lang w:val="en-US" w:eastAsia="en-US"/>
        </w:rPr>
        <w:t>.</w:t>
      </w:r>
    </w:p>
    <w:p w:rsidR="003C5498" w:rsidRDefault="003C5498" w:rsidP="00385CE4">
      <w:pPr>
        <w:autoSpaceDE w:val="0"/>
        <w:autoSpaceDN w:val="0"/>
        <w:adjustRightInd w:val="0"/>
        <w:jc w:val="left"/>
        <w:rPr>
          <w:b/>
          <w:i/>
          <w:szCs w:val="24"/>
          <w:lang w:val="en-US" w:eastAsia="en-US"/>
        </w:rPr>
      </w:pPr>
    </w:p>
    <w:p w:rsidR="00385CE4" w:rsidRPr="00F54D3F" w:rsidRDefault="00385CE4" w:rsidP="00385CE4">
      <w:pPr>
        <w:autoSpaceDE w:val="0"/>
        <w:autoSpaceDN w:val="0"/>
        <w:adjustRightInd w:val="0"/>
        <w:jc w:val="left"/>
        <w:rPr>
          <w:b/>
          <w:i/>
          <w:szCs w:val="24"/>
          <w:lang w:val="en-US" w:eastAsia="en-US"/>
        </w:rPr>
      </w:pPr>
      <w:r w:rsidRPr="00F54D3F">
        <w:rPr>
          <w:b/>
          <w:i/>
          <w:szCs w:val="24"/>
          <w:lang w:val="en-US" w:eastAsia="en-US"/>
        </w:rPr>
        <w:t>Course Requirements</w:t>
      </w:r>
    </w:p>
    <w:p w:rsidR="00F54D3F" w:rsidRDefault="00F54D3F" w:rsidP="00385CE4">
      <w:pPr>
        <w:autoSpaceDE w:val="0"/>
        <w:autoSpaceDN w:val="0"/>
        <w:adjustRightInd w:val="0"/>
        <w:jc w:val="left"/>
        <w:rPr>
          <w:szCs w:val="24"/>
          <w:lang w:val="en-US" w:eastAsia="en-US"/>
        </w:rPr>
      </w:pPr>
    </w:p>
    <w:p w:rsidR="007D3958" w:rsidRDefault="00CC7390" w:rsidP="00CC7390">
      <w:pPr>
        <w:jc w:val="left"/>
        <w:rPr>
          <w:bCs/>
          <w:szCs w:val="24"/>
          <w:lang w:val="en-US"/>
        </w:rPr>
      </w:pPr>
      <w:r w:rsidRPr="00CC7390">
        <w:rPr>
          <w:bCs/>
          <w:szCs w:val="24"/>
          <w:lang w:val="en-US"/>
        </w:rPr>
        <w:t>Y</w:t>
      </w:r>
      <w:r>
        <w:rPr>
          <w:bCs/>
          <w:szCs w:val="24"/>
          <w:lang w:val="en-US"/>
        </w:rPr>
        <w:t xml:space="preserve">our grade will be based </w:t>
      </w:r>
      <w:r w:rsidR="00C101B9">
        <w:rPr>
          <w:bCs/>
          <w:szCs w:val="24"/>
          <w:lang w:val="en-US"/>
        </w:rPr>
        <w:t xml:space="preserve">on </w:t>
      </w:r>
      <w:r w:rsidR="007D3958">
        <w:rPr>
          <w:bCs/>
          <w:szCs w:val="24"/>
          <w:lang w:val="en-US"/>
        </w:rPr>
        <w:t>four</w:t>
      </w:r>
      <w:r w:rsidR="00C101B9">
        <w:rPr>
          <w:bCs/>
          <w:szCs w:val="24"/>
          <w:lang w:val="en-US"/>
        </w:rPr>
        <w:t xml:space="preserve"> components</w:t>
      </w:r>
      <w:r w:rsidR="007D3958">
        <w:rPr>
          <w:bCs/>
          <w:szCs w:val="24"/>
          <w:lang w:val="en-US"/>
        </w:rPr>
        <w:t>, as follows</w:t>
      </w:r>
      <w:r w:rsidR="0080330B">
        <w:rPr>
          <w:bCs/>
          <w:szCs w:val="24"/>
          <w:lang w:val="en-US"/>
        </w:rPr>
        <w:t>:</w:t>
      </w:r>
    </w:p>
    <w:p w:rsidR="007D3958" w:rsidRPr="007D3958" w:rsidRDefault="007D3958" w:rsidP="007D3958">
      <w:pPr>
        <w:pStyle w:val="ListParagraph"/>
        <w:numPr>
          <w:ilvl w:val="0"/>
          <w:numId w:val="9"/>
        </w:numPr>
        <w:jc w:val="left"/>
        <w:rPr>
          <w:bCs/>
          <w:szCs w:val="24"/>
          <w:lang w:val="en-US"/>
        </w:rPr>
      </w:pPr>
      <w:r w:rsidRPr="007D3958">
        <w:rPr>
          <w:bCs/>
          <w:szCs w:val="24"/>
          <w:lang w:val="en-US"/>
        </w:rPr>
        <w:t>A</w:t>
      </w:r>
      <w:r w:rsidR="00C101B9" w:rsidRPr="007D3958">
        <w:rPr>
          <w:bCs/>
          <w:szCs w:val="24"/>
          <w:lang w:val="en-US"/>
        </w:rPr>
        <w:t xml:space="preserve">ttendance </w:t>
      </w:r>
      <w:r w:rsidRPr="007D3958">
        <w:rPr>
          <w:bCs/>
          <w:szCs w:val="24"/>
          <w:lang w:val="en-US"/>
        </w:rPr>
        <w:t>= 10%</w:t>
      </w:r>
    </w:p>
    <w:p w:rsidR="007D3958" w:rsidRPr="007D3958" w:rsidRDefault="007D3958" w:rsidP="007D3958">
      <w:pPr>
        <w:pStyle w:val="ListParagraph"/>
        <w:numPr>
          <w:ilvl w:val="0"/>
          <w:numId w:val="9"/>
        </w:numPr>
        <w:jc w:val="left"/>
        <w:rPr>
          <w:bCs/>
          <w:szCs w:val="24"/>
          <w:lang w:val="en-US"/>
        </w:rPr>
      </w:pPr>
      <w:r w:rsidRPr="007D3958">
        <w:rPr>
          <w:bCs/>
          <w:szCs w:val="24"/>
          <w:lang w:val="en-US"/>
        </w:rPr>
        <w:t>P</w:t>
      </w:r>
      <w:r w:rsidR="00C101B9" w:rsidRPr="007D3958">
        <w:rPr>
          <w:bCs/>
          <w:szCs w:val="24"/>
          <w:lang w:val="en-US"/>
        </w:rPr>
        <w:t>articipation</w:t>
      </w:r>
      <w:r w:rsidRPr="007D3958">
        <w:rPr>
          <w:bCs/>
          <w:szCs w:val="24"/>
          <w:lang w:val="en-US"/>
        </w:rPr>
        <w:t xml:space="preserve"> = </w:t>
      </w:r>
      <w:r w:rsidR="00C101B9" w:rsidRPr="007D3958">
        <w:rPr>
          <w:bCs/>
          <w:szCs w:val="24"/>
          <w:lang w:val="en-US"/>
        </w:rPr>
        <w:t>30</w:t>
      </w:r>
      <w:r w:rsidRPr="007D3958">
        <w:rPr>
          <w:bCs/>
          <w:szCs w:val="24"/>
          <w:lang w:val="en-US"/>
        </w:rPr>
        <w:t>%</w:t>
      </w:r>
    </w:p>
    <w:p w:rsidR="007D3958" w:rsidRPr="007D3958" w:rsidRDefault="007D3958" w:rsidP="007D3958">
      <w:pPr>
        <w:pStyle w:val="ListParagraph"/>
        <w:numPr>
          <w:ilvl w:val="0"/>
          <w:numId w:val="9"/>
        </w:numPr>
        <w:jc w:val="left"/>
        <w:rPr>
          <w:bCs/>
          <w:szCs w:val="24"/>
          <w:lang w:val="en-US"/>
        </w:rPr>
      </w:pPr>
      <w:r w:rsidRPr="007D3958">
        <w:rPr>
          <w:bCs/>
          <w:szCs w:val="24"/>
          <w:lang w:val="en-US"/>
        </w:rPr>
        <w:t>G</w:t>
      </w:r>
      <w:r w:rsidR="00C101B9" w:rsidRPr="007D3958">
        <w:rPr>
          <w:bCs/>
          <w:szCs w:val="24"/>
          <w:lang w:val="en-US"/>
        </w:rPr>
        <w:t>uid</w:t>
      </w:r>
      <w:r w:rsidRPr="007D3958">
        <w:rPr>
          <w:bCs/>
          <w:szCs w:val="24"/>
          <w:lang w:val="en-US"/>
        </w:rPr>
        <w:t xml:space="preserve">ed discussion of class reading = </w:t>
      </w:r>
      <w:r w:rsidR="00C101B9" w:rsidRPr="007D3958">
        <w:rPr>
          <w:bCs/>
          <w:szCs w:val="24"/>
          <w:lang w:val="en-US"/>
        </w:rPr>
        <w:t>30%</w:t>
      </w:r>
    </w:p>
    <w:p w:rsidR="007D3958" w:rsidRPr="007D3958" w:rsidRDefault="007D3958" w:rsidP="007D3958">
      <w:pPr>
        <w:pStyle w:val="ListParagraph"/>
        <w:numPr>
          <w:ilvl w:val="0"/>
          <w:numId w:val="9"/>
        </w:numPr>
        <w:jc w:val="left"/>
        <w:rPr>
          <w:bCs/>
          <w:szCs w:val="24"/>
          <w:lang w:val="en-US"/>
        </w:rPr>
      </w:pPr>
      <w:r w:rsidRPr="007D3958">
        <w:rPr>
          <w:bCs/>
          <w:szCs w:val="24"/>
          <w:lang w:val="en-US"/>
        </w:rPr>
        <w:t>F</w:t>
      </w:r>
      <w:r w:rsidR="00C101B9" w:rsidRPr="007D3958">
        <w:rPr>
          <w:bCs/>
          <w:szCs w:val="24"/>
          <w:lang w:val="en-US"/>
        </w:rPr>
        <w:t xml:space="preserve">inal presentation </w:t>
      </w:r>
      <w:r w:rsidRPr="007D3958">
        <w:rPr>
          <w:bCs/>
          <w:szCs w:val="24"/>
          <w:lang w:val="en-US"/>
        </w:rPr>
        <w:t xml:space="preserve">= </w:t>
      </w:r>
      <w:r w:rsidR="00C101B9" w:rsidRPr="007D3958">
        <w:rPr>
          <w:bCs/>
          <w:szCs w:val="24"/>
          <w:lang w:val="en-US"/>
        </w:rPr>
        <w:t>30%</w:t>
      </w:r>
    </w:p>
    <w:p w:rsidR="007D3958" w:rsidRDefault="007D3958" w:rsidP="00CC7390">
      <w:pPr>
        <w:jc w:val="left"/>
        <w:rPr>
          <w:bCs/>
          <w:szCs w:val="24"/>
          <w:lang w:val="en-US"/>
        </w:rPr>
      </w:pPr>
    </w:p>
    <w:p w:rsidR="00CC7390" w:rsidRDefault="00C101B9" w:rsidP="00385CE4">
      <w:pPr>
        <w:autoSpaceDE w:val="0"/>
        <w:autoSpaceDN w:val="0"/>
        <w:adjustRightInd w:val="0"/>
        <w:jc w:val="left"/>
        <w:rPr>
          <w:szCs w:val="24"/>
          <w:lang w:val="en-US" w:eastAsia="en-US"/>
        </w:rPr>
      </w:pPr>
      <w:r>
        <w:rPr>
          <w:i/>
          <w:szCs w:val="24"/>
          <w:lang w:val="en-US" w:eastAsia="en-US"/>
        </w:rPr>
        <w:t>A</w:t>
      </w:r>
      <w:r w:rsidRPr="00C101B9">
        <w:rPr>
          <w:i/>
          <w:szCs w:val="24"/>
          <w:lang w:val="en-US" w:eastAsia="en-US"/>
        </w:rPr>
        <w:t>ttendance</w:t>
      </w:r>
      <w:r>
        <w:rPr>
          <w:i/>
          <w:szCs w:val="24"/>
          <w:lang w:val="en-US" w:eastAsia="en-US"/>
        </w:rPr>
        <w:t xml:space="preserve">: </w:t>
      </w:r>
      <w:r>
        <w:rPr>
          <w:szCs w:val="24"/>
          <w:lang w:val="en-US" w:eastAsia="en-US"/>
        </w:rPr>
        <w:t>You are expected to attend all class sessions, unless you experience some kind of emergency. Over the course of the semester, you are allowed one unexcused absence. Further unexcused absences may lead to a reduction in your attendance grade.</w:t>
      </w:r>
    </w:p>
    <w:p w:rsidR="00C101B9" w:rsidRPr="00C101B9" w:rsidRDefault="00C101B9" w:rsidP="00385CE4">
      <w:pPr>
        <w:autoSpaceDE w:val="0"/>
        <w:autoSpaceDN w:val="0"/>
        <w:adjustRightInd w:val="0"/>
        <w:jc w:val="left"/>
        <w:rPr>
          <w:szCs w:val="24"/>
          <w:lang w:val="en-US" w:eastAsia="en-US"/>
        </w:rPr>
      </w:pPr>
    </w:p>
    <w:p w:rsidR="00C101B9" w:rsidRDefault="00F54D3F" w:rsidP="00385CE4">
      <w:pPr>
        <w:autoSpaceDE w:val="0"/>
        <w:autoSpaceDN w:val="0"/>
        <w:adjustRightInd w:val="0"/>
        <w:jc w:val="left"/>
        <w:rPr>
          <w:szCs w:val="24"/>
          <w:lang w:val="en-US" w:eastAsia="en-US"/>
        </w:rPr>
      </w:pPr>
      <w:r w:rsidRPr="00CC7390">
        <w:rPr>
          <w:i/>
          <w:szCs w:val="24"/>
          <w:lang w:val="en-US" w:eastAsia="en-US"/>
        </w:rPr>
        <w:t>P</w:t>
      </w:r>
      <w:r w:rsidR="00385CE4" w:rsidRPr="00CC7390">
        <w:rPr>
          <w:i/>
          <w:szCs w:val="24"/>
          <w:lang w:val="en-US" w:eastAsia="en-US"/>
        </w:rPr>
        <w:t>articipation:</w:t>
      </w:r>
      <w:r w:rsidR="00385CE4" w:rsidRPr="00F54D3F">
        <w:rPr>
          <w:szCs w:val="24"/>
          <w:lang w:val="en-US" w:eastAsia="en-US"/>
        </w:rPr>
        <w:t xml:space="preserve"> </w:t>
      </w:r>
      <w:r w:rsidR="00C101B9">
        <w:rPr>
          <w:szCs w:val="24"/>
          <w:lang w:val="en-US" w:eastAsia="en-US"/>
        </w:rPr>
        <w:t>You are expected to participate actively in class discussions</w:t>
      </w:r>
      <w:r w:rsidR="003C5498">
        <w:rPr>
          <w:szCs w:val="24"/>
          <w:lang w:val="en-US" w:eastAsia="en-US"/>
        </w:rPr>
        <w:t xml:space="preserve">, verbally or via submission of written questions. In order to encourage close reading and stimulate meaningful discussion, each student should come to class with </w:t>
      </w:r>
      <w:r w:rsidR="003C5498" w:rsidRPr="003C5498">
        <w:rPr>
          <w:szCs w:val="24"/>
          <w:u w:val="single"/>
          <w:lang w:val="en-US" w:eastAsia="en-US"/>
        </w:rPr>
        <w:t>one question</w:t>
      </w:r>
      <w:r w:rsidR="003C5498">
        <w:rPr>
          <w:szCs w:val="24"/>
          <w:u w:val="single"/>
          <w:lang w:val="en-US" w:eastAsia="en-US"/>
        </w:rPr>
        <w:t xml:space="preserve"> about the assigned reading</w:t>
      </w:r>
      <w:r w:rsidR="003C5498">
        <w:rPr>
          <w:szCs w:val="24"/>
          <w:lang w:val="en-US" w:eastAsia="en-US"/>
        </w:rPr>
        <w:t xml:space="preserve">. </w:t>
      </w:r>
      <w:r w:rsidR="007D3958">
        <w:rPr>
          <w:szCs w:val="24"/>
          <w:lang w:val="en-US" w:eastAsia="en-US"/>
        </w:rPr>
        <w:t>Submission of</w:t>
      </w:r>
      <w:r w:rsidR="003C5498">
        <w:rPr>
          <w:szCs w:val="24"/>
          <w:lang w:val="en-US" w:eastAsia="en-US"/>
        </w:rPr>
        <w:t xml:space="preserve"> thoughtful questions each week will earn you full participation points.</w:t>
      </w:r>
    </w:p>
    <w:p w:rsidR="00C101B9" w:rsidRDefault="00C101B9" w:rsidP="0080330B">
      <w:pPr>
        <w:shd w:val="clear" w:color="auto" w:fill="FFFFFF" w:themeFill="background1"/>
        <w:autoSpaceDE w:val="0"/>
        <w:autoSpaceDN w:val="0"/>
        <w:adjustRightInd w:val="0"/>
        <w:jc w:val="left"/>
        <w:rPr>
          <w:szCs w:val="24"/>
          <w:lang w:val="en-US" w:eastAsia="en-US"/>
        </w:rPr>
      </w:pPr>
    </w:p>
    <w:p w:rsidR="00C101B9" w:rsidRPr="007D3958" w:rsidRDefault="003C5498" w:rsidP="00321342">
      <w:pPr>
        <w:shd w:val="clear" w:color="auto" w:fill="FFFFFF" w:themeFill="background1"/>
        <w:autoSpaceDE w:val="0"/>
        <w:autoSpaceDN w:val="0"/>
        <w:adjustRightInd w:val="0"/>
        <w:jc w:val="left"/>
        <w:rPr>
          <w:szCs w:val="24"/>
          <w:lang w:val="en-US" w:eastAsia="en-US"/>
        </w:rPr>
      </w:pPr>
      <w:r w:rsidRPr="0080330B">
        <w:rPr>
          <w:i/>
          <w:szCs w:val="24"/>
          <w:lang w:val="en-US" w:eastAsia="en-US"/>
        </w:rPr>
        <w:t>Guided Discussion:</w:t>
      </w:r>
      <w:r w:rsidR="00350E3A">
        <w:rPr>
          <w:i/>
          <w:szCs w:val="24"/>
          <w:lang w:val="en-US" w:eastAsia="en-US"/>
        </w:rPr>
        <w:t xml:space="preserve"> </w:t>
      </w:r>
      <w:r w:rsidR="007D3958" w:rsidRPr="0080330B">
        <w:rPr>
          <w:szCs w:val="24"/>
          <w:lang w:val="en-US" w:eastAsia="en-US"/>
        </w:rPr>
        <w:t xml:space="preserve">Each class will have one or two student moderators. </w:t>
      </w:r>
      <w:r w:rsidR="00350E3A">
        <w:rPr>
          <w:szCs w:val="24"/>
          <w:lang w:val="en-US" w:eastAsia="en-US"/>
        </w:rPr>
        <w:t>You</w:t>
      </w:r>
      <w:r w:rsidR="00052A7A" w:rsidRPr="0080330B">
        <w:rPr>
          <w:szCs w:val="24"/>
          <w:lang w:val="en-US" w:eastAsia="en-US"/>
        </w:rPr>
        <w:t xml:space="preserve"> will be assigned to </w:t>
      </w:r>
      <w:r w:rsidR="00350E3A">
        <w:rPr>
          <w:szCs w:val="24"/>
          <w:lang w:val="en-US" w:eastAsia="en-US"/>
        </w:rPr>
        <w:t>a specific week</w:t>
      </w:r>
      <w:r w:rsidR="007D3958" w:rsidRPr="0080330B">
        <w:rPr>
          <w:szCs w:val="24"/>
          <w:lang w:val="en-US" w:eastAsia="en-US"/>
        </w:rPr>
        <w:t xml:space="preserve"> at the beginning of the semester based on </w:t>
      </w:r>
      <w:r w:rsidR="00350E3A">
        <w:rPr>
          <w:szCs w:val="24"/>
          <w:lang w:val="en-US" w:eastAsia="en-US"/>
        </w:rPr>
        <w:t xml:space="preserve">your </w:t>
      </w:r>
      <w:r w:rsidR="00052A7A" w:rsidRPr="0080330B">
        <w:rPr>
          <w:szCs w:val="24"/>
          <w:lang w:val="en-US" w:eastAsia="en-US"/>
        </w:rPr>
        <w:t>interest and availability</w:t>
      </w:r>
      <w:r w:rsidR="007D3958" w:rsidRPr="0080330B">
        <w:rPr>
          <w:szCs w:val="24"/>
          <w:lang w:val="en-US" w:eastAsia="en-US"/>
        </w:rPr>
        <w:t xml:space="preserve">. </w:t>
      </w:r>
      <w:r w:rsidR="00350E3A">
        <w:rPr>
          <w:szCs w:val="24"/>
          <w:lang w:val="en-US" w:eastAsia="en-US"/>
        </w:rPr>
        <w:t xml:space="preserve">As the student moderator, you are </w:t>
      </w:r>
      <w:r w:rsidR="00052A7A" w:rsidRPr="0080330B">
        <w:rPr>
          <w:szCs w:val="24"/>
          <w:lang w:val="en-US" w:eastAsia="en-US"/>
        </w:rPr>
        <w:t xml:space="preserve">expected to </w:t>
      </w:r>
      <w:r w:rsidR="00350E3A">
        <w:rPr>
          <w:szCs w:val="24"/>
          <w:lang w:val="en-US" w:eastAsia="en-US"/>
        </w:rPr>
        <w:t xml:space="preserve">prepare by </w:t>
      </w:r>
      <w:r w:rsidR="00052A7A" w:rsidRPr="0080330B">
        <w:rPr>
          <w:szCs w:val="24"/>
          <w:lang w:val="en-US" w:eastAsia="en-US"/>
        </w:rPr>
        <w:t>outlin</w:t>
      </w:r>
      <w:r w:rsidR="00350E3A">
        <w:rPr>
          <w:szCs w:val="24"/>
          <w:lang w:val="en-US" w:eastAsia="en-US"/>
        </w:rPr>
        <w:t>ing</w:t>
      </w:r>
      <w:r w:rsidR="00052A7A" w:rsidRPr="0080330B">
        <w:rPr>
          <w:szCs w:val="24"/>
          <w:lang w:val="en-US" w:eastAsia="en-US"/>
        </w:rPr>
        <w:t xml:space="preserve"> the reading</w:t>
      </w:r>
      <w:r w:rsidR="0080330B">
        <w:rPr>
          <w:szCs w:val="24"/>
          <w:lang w:val="en-US" w:eastAsia="en-US"/>
        </w:rPr>
        <w:t>,</w:t>
      </w:r>
      <w:r w:rsidR="00052A7A" w:rsidRPr="0080330B">
        <w:rPr>
          <w:szCs w:val="24"/>
          <w:lang w:val="en-US" w:eastAsia="en-US"/>
        </w:rPr>
        <w:t xml:space="preserve"> summariz</w:t>
      </w:r>
      <w:r w:rsidR="00350E3A">
        <w:rPr>
          <w:szCs w:val="24"/>
          <w:lang w:val="en-US" w:eastAsia="en-US"/>
        </w:rPr>
        <w:t>ing</w:t>
      </w:r>
      <w:r w:rsidR="00052A7A" w:rsidRPr="0080330B">
        <w:rPr>
          <w:szCs w:val="24"/>
          <w:lang w:val="en-US" w:eastAsia="en-US"/>
        </w:rPr>
        <w:t xml:space="preserve"> </w:t>
      </w:r>
      <w:r w:rsidR="0080330B">
        <w:rPr>
          <w:szCs w:val="24"/>
          <w:lang w:val="en-US" w:eastAsia="en-US"/>
        </w:rPr>
        <w:t>key ideas, and develop</w:t>
      </w:r>
      <w:r w:rsidR="00350E3A">
        <w:rPr>
          <w:szCs w:val="24"/>
          <w:lang w:val="en-US" w:eastAsia="en-US"/>
        </w:rPr>
        <w:t>ing</w:t>
      </w:r>
      <w:r w:rsidR="0080330B">
        <w:rPr>
          <w:szCs w:val="24"/>
          <w:lang w:val="en-US" w:eastAsia="en-US"/>
        </w:rPr>
        <w:t xml:space="preserve"> original discussion questions</w:t>
      </w:r>
      <w:r w:rsidR="00052A7A" w:rsidRPr="0080330B">
        <w:rPr>
          <w:szCs w:val="24"/>
          <w:lang w:val="en-US" w:eastAsia="en-US"/>
        </w:rPr>
        <w:t xml:space="preserve">. </w:t>
      </w:r>
      <w:r w:rsidR="0080330B" w:rsidRPr="0080330B">
        <w:rPr>
          <w:szCs w:val="24"/>
          <w:lang w:val="en-US" w:eastAsia="en-US"/>
        </w:rPr>
        <w:t xml:space="preserve">During class, </w:t>
      </w:r>
      <w:r w:rsidR="00350E3A">
        <w:rPr>
          <w:szCs w:val="24"/>
          <w:lang w:val="en-US" w:eastAsia="en-US"/>
        </w:rPr>
        <w:t>you will</w:t>
      </w:r>
      <w:r w:rsidR="0080330B">
        <w:rPr>
          <w:szCs w:val="24"/>
          <w:lang w:val="en-US" w:eastAsia="en-US"/>
        </w:rPr>
        <w:t xml:space="preserve"> field questions from </w:t>
      </w:r>
      <w:r w:rsidR="00350E3A">
        <w:rPr>
          <w:szCs w:val="24"/>
          <w:lang w:val="en-US" w:eastAsia="en-US"/>
        </w:rPr>
        <w:t xml:space="preserve">your peers about the reading </w:t>
      </w:r>
      <w:r w:rsidR="0080330B">
        <w:rPr>
          <w:szCs w:val="24"/>
          <w:lang w:val="en-US" w:eastAsia="en-US"/>
        </w:rPr>
        <w:t xml:space="preserve">and </w:t>
      </w:r>
      <w:r w:rsidR="00350E3A">
        <w:rPr>
          <w:szCs w:val="24"/>
          <w:lang w:val="en-US" w:eastAsia="en-US"/>
        </w:rPr>
        <w:t xml:space="preserve">help </w:t>
      </w:r>
      <w:r w:rsidR="0080330B">
        <w:rPr>
          <w:szCs w:val="24"/>
          <w:lang w:val="en-US" w:eastAsia="en-US"/>
        </w:rPr>
        <w:t>guide the conversation by posing discussion questions of</w:t>
      </w:r>
      <w:r w:rsidR="00350E3A">
        <w:rPr>
          <w:szCs w:val="24"/>
          <w:lang w:val="en-US" w:eastAsia="en-US"/>
        </w:rPr>
        <w:t xml:space="preserve"> your</w:t>
      </w:r>
      <w:r w:rsidR="0080330B">
        <w:rPr>
          <w:szCs w:val="24"/>
          <w:lang w:val="en-US" w:eastAsia="en-US"/>
        </w:rPr>
        <w:t xml:space="preserve"> own.</w:t>
      </w:r>
      <w:r w:rsidR="00052A7A" w:rsidRPr="0080330B">
        <w:rPr>
          <w:szCs w:val="24"/>
          <w:lang w:val="en-US" w:eastAsia="en-US"/>
        </w:rPr>
        <w:t xml:space="preserve"> </w:t>
      </w:r>
      <w:r w:rsidR="0080330B" w:rsidRPr="0080330B">
        <w:rPr>
          <w:szCs w:val="24"/>
          <w:lang w:val="en-US" w:eastAsia="en-US"/>
        </w:rPr>
        <w:t>I will be available to help student moderators before and during classes.</w:t>
      </w:r>
    </w:p>
    <w:p w:rsidR="00F54D3F" w:rsidRDefault="00F54D3F" w:rsidP="00321342">
      <w:pPr>
        <w:shd w:val="clear" w:color="auto" w:fill="FFFFFF" w:themeFill="background1"/>
        <w:autoSpaceDE w:val="0"/>
        <w:autoSpaceDN w:val="0"/>
        <w:adjustRightInd w:val="0"/>
        <w:jc w:val="left"/>
        <w:rPr>
          <w:szCs w:val="24"/>
          <w:lang w:val="en-US" w:eastAsia="en-US"/>
        </w:rPr>
      </w:pPr>
    </w:p>
    <w:p w:rsidR="00385CE4" w:rsidRPr="00F54D3F" w:rsidRDefault="00385CE4" w:rsidP="00321342">
      <w:pPr>
        <w:shd w:val="clear" w:color="auto" w:fill="FFFFFF" w:themeFill="background1"/>
        <w:autoSpaceDE w:val="0"/>
        <w:autoSpaceDN w:val="0"/>
        <w:adjustRightInd w:val="0"/>
        <w:jc w:val="left"/>
        <w:rPr>
          <w:szCs w:val="24"/>
          <w:lang w:val="en-US" w:eastAsia="en-US"/>
        </w:rPr>
      </w:pPr>
      <w:r w:rsidRPr="003C5498">
        <w:rPr>
          <w:i/>
          <w:szCs w:val="24"/>
          <w:lang w:val="en-US" w:eastAsia="en-US"/>
        </w:rPr>
        <w:t>Final Pr</w:t>
      </w:r>
      <w:r w:rsidR="003C5498" w:rsidRPr="003C5498">
        <w:rPr>
          <w:i/>
          <w:szCs w:val="24"/>
          <w:lang w:val="en-US" w:eastAsia="en-US"/>
        </w:rPr>
        <w:t>esentation</w:t>
      </w:r>
      <w:r w:rsidRPr="003C5498">
        <w:rPr>
          <w:i/>
          <w:szCs w:val="24"/>
          <w:lang w:val="en-US" w:eastAsia="en-US"/>
        </w:rPr>
        <w:t>:</w:t>
      </w:r>
      <w:r w:rsidRPr="00F54D3F">
        <w:rPr>
          <w:szCs w:val="24"/>
          <w:lang w:val="en-US" w:eastAsia="en-US"/>
        </w:rPr>
        <w:t xml:space="preserve"> </w:t>
      </w:r>
      <w:r w:rsidR="0080330B">
        <w:rPr>
          <w:szCs w:val="24"/>
          <w:lang w:val="en-US" w:eastAsia="en-US"/>
        </w:rPr>
        <w:t xml:space="preserve">Each student will work alone or </w:t>
      </w:r>
      <w:r w:rsidR="00350E3A">
        <w:rPr>
          <w:szCs w:val="24"/>
          <w:lang w:val="en-US" w:eastAsia="en-US"/>
        </w:rPr>
        <w:t xml:space="preserve">with one other person to </w:t>
      </w:r>
      <w:r w:rsidR="0080330B">
        <w:rPr>
          <w:szCs w:val="24"/>
          <w:lang w:val="en-US" w:eastAsia="en-US"/>
        </w:rPr>
        <w:t xml:space="preserve">research a real-life social change process. </w:t>
      </w:r>
      <w:r w:rsidR="00350E3A">
        <w:rPr>
          <w:szCs w:val="24"/>
          <w:lang w:val="en-US" w:eastAsia="en-US"/>
        </w:rPr>
        <w:t xml:space="preserve">I will provide a list of possible topics to choose from, but you are also free to come up with your own (in consultation with me). You will do independent research on the topic you have chosen then analyze it in light of class readings. </w:t>
      </w:r>
      <w:r w:rsidR="00321342">
        <w:rPr>
          <w:szCs w:val="24"/>
          <w:lang w:val="en-US" w:eastAsia="en-US"/>
        </w:rPr>
        <w:t>Instead of a final paper, you will prepare a 10-minute Power Point presentation and a one-page summary sheet to accompany it. The summary sheets will be distributed to everyone in class when you do your final presentation.</w:t>
      </w:r>
    </w:p>
    <w:p w:rsidR="00F54D3F" w:rsidRDefault="00F54D3F" w:rsidP="00321342">
      <w:pPr>
        <w:shd w:val="clear" w:color="auto" w:fill="FFFFFF" w:themeFill="background1"/>
        <w:autoSpaceDE w:val="0"/>
        <w:autoSpaceDN w:val="0"/>
        <w:adjustRightInd w:val="0"/>
        <w:jc w:val="left"/>
        <w:rPr>
          <w:szCs w:val="24"/>
          <w:lang w:val="en-US" w:eastAsia="en-US"/>
        </w:rPr>
      </w:pPr>
    </w:p>
    <w:p w:rsidR="00385CE4" w:rsidRDefault="00385CE4" w:rsidP="00385CE4">
      <w:pPr>
        <w:autoSpaceDE w:val="0"/>
        <w:autoSpaceDN w:val="0"/>
        <w:adjustRightInd w:val="0"/>
        <w:jc w:val="left"/>
        <w:rPr>
          <w:b/>
          <w:i/>
          <w:szCs w:val="24"/>
          <w:lang w:val="en-US" w:eastAsia="en-US"/>
        </w:rPr>
      </w:pPr>
      <w:r w:rsidRPr="00F54D3F">
        <w:rPr>
          <w:b/>
          <w:i/>
          <w:szCs w:val="24"/>
          <w:lang w:val="en-US" w:eastAsia="en-US"/>
        </w:rPr>
        <w:t>Grading</w:t>
      </w:r>
    </w:p>
    <w:p w:rsidR="00293AC6" w:rsidRDefault="00293AC6" w:rsidP="00293AC6">
      <w:pPr>
        <w:jc w:val="left"/>
        <w:rPr>
          <w:b/>
          <w:bCs/>
          <w:i/>
          <w:szCs w:val="24"/>
          <w:lang w:val="en-US"/>
        </w:rPr>
      </w:pPr>
    </w:p>
    <w:p w:rsidR="00293AC6" w:rsidRPr="00E8399C" w:rsidRDefault="00293AC6" w:rsidP="00293AC6">
      <w:pPr>
        <w:jc w:val="left"/>
        <w:rPr>
          <w:bCs/>
          <w:szCs w:val="24"/>
          <w:lang w:val="en-US"/>
        </w:rPr>
      </w:pPr>
      <w:r>
        <w:rPr>
          <w:bCs/>
          <w:szCs w:val="24"/>
          <w:lang w:val="en-US"/>
        </w:rPr>
        <w:t>On the basis of your cumulative scores on the components described above, I will assign your final course grade using the standard OSU grading scale, as follows:</w:t>
      </w:r>
    </w:p>
    <w:p w:rsidR="00293AC6" w:rsidRPr="00FB3D75" w:rsidRDefault="00293AC6" w:rsidP="00293AC6">
      <w:pPr>
        <w:pStyle w:val="BodyText"/>
        <w:rPr>
          <w:rFonts w:ascii="Book Antiqua" w:hAnsi="Book Antiqu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810"/>
        <w:gridCol w:w="810"/>
        <w:gridCol w:w="900"/>
        <w:gridCol w:w="810"/>
        <w:gridCol w:w="792"/>
        <w:gridCol w:w="870"/>
        <w:gridCol w:w="870"/>
        <w:gridCol w:w="870"/>
        <w:gridCol w:w="870"/>
        <w:gridCol w:w="876"/>
      </w:tblGrid>
      <w:tr w:rsidR="00293AC6" w:rsidRPr="00844F7E" w:rsidTr="00BB689F">
        <w:tc>
          <w:tcPr>
            <w:tcW w:w="99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93-100</w:t>
            </w:r>
          </w:p>
        </w:tc>
        <w:tc>
          <w:tcPr>
            <w:tcW w:w="81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90-92</w:t>
            </w:r>
          </w:p>
        </w:tc>
        <w:tc>
          <w:tcPr>
            <w:tcW w:w="81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87-89</w:t>
            </w:r>
          </w:p>
        </w:tc>
        <w:tc>
          <w:tcPr>
            <w:tcW w:w="90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83-86</w:t>
            </w:r>
          </w:p>
        </w:tc>
        <w:tc>
          <w:tcPr>
            <w:tcW w:w="81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80-82</w:t>
            </w:r>
          </w:p>
        </w:tc>
        <w:tc>
          <w:tcPr>
            <w:tcW w:w="792"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77-79</w:t>
            </w:r>
          </w:p>
        </w:tc>
        <w:tc>
          <w:tcPr>
            <w:tcW w:w="87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73-76</w:t>
            </w:r>
          </w:p>
        </w:tc>
        <w:tc>
          <w:tcPr>
            <w:tcW w:w="87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70-72</w:t>
            </w:r>
          </w:p>
        </w:tc>
        <w:tc>
          <w:tcPr>
            <w:tcW w:w="87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67-69</w:t>
            </w:r>
          </w:p>
        </w:tc>
        <w:tc>
          <w:tcPr>
            <w:tcW w:w="87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60-66</w:t>
            </w:r>
          </w:p>
        </w:tc>
        <w:tc>
          <w:tcPr>
            <w:tcW w:w="876"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&lt;60</w:t>
            </w:r>
          </w:p>
        </w:tc>
      </w:tr>
      <w:tr w:rsidR="00293AC6" w:rsidRPr="00844F7E" w:rsidTr="00BB689F">
        <w:tc>
          <w:tcPr>
            <w:tcW w:w="99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A</w:t>
            </w:r>
          </w:p>
        </w:tc>
        <w:tc>
          <w:tcPr>
            <w:tcW w:w="81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A-</w:t>
            </w:r>
          </w:p>
        </w:tc>
        <w:tc>
          <w:tcPr>
            <w:tcW w:w="81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B+</w:t>
            </w:r>
          </w:p>
        </w:tc>
        <w:tc>
          <w:tcPr>
            <w:tcW w:w="90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B</w:t>
            </w:r>
          </w:p>
        </w:tc>
        <w:tc>
          <w:tcPr>
            <w:tcW w:w="81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B-</w:t>
            </w:r>
          </w:p>
        </w:tc>
        <w:tc>
          <w:tcPr>
            <w:tcW w:w="792"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C+</w:t>
            </w:r>
          </w:p>
        </w:tc>
        <w:tc>
          <w:tcPr>
            <w:tcW w:w="87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C</w:t>
            </w:r>
          </w:p>
        </w:tc>
        <w:tc>
          <w:tcPr>
            <w:tcW w:w="87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C-</w:t>
            </w:r>
          </w:p>
        </w:tc>
        <w:tc>
          <w:tcPr>
            <w:tcW w:w="87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D+</w:t>
            </w:r>
          </w:p>
        </w:tc>
        <w:tc>
          <w:tcPr>
            <w:tcW w:w="870"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D</w:t>
            </w:r>
          </w:p>
        </w:tc>
        <w:tc>
          <w:tcPr>
            <w:tcW w:w="876" w:type="dxa"/>
          </w:tcPr>
          <w:p w:rsidR="00293AC6" w:rsidRPr="00844F7E" w:rsidRDefault="00293AC6" w:rsidP="00BB689F">
            <w:pPr>
              <w:pStyle w:val="BodyText"/>
              <w:jc w:val="center"/>
              <w:rPr>
                <w:rFonts w:ascii="Times New Roman" w:hAnsi="Times New Roman"/>
                <w:sz w:val="24"/>
              </w:rPr>
            </w:pPr>
            <w:r w:rsidRPr="00844F7E">
              <w:rPr>
                <w:rFonts w:ascii="Times New Roman" w:hAnsi="Times New Roman"/>
                <w:sz w:val="24"/>
              </w:rPr>
              <w:t>F</w:t>
            </w:r>
          </w:p>
        </w:tc>
      </w:tr>
    </w:tbl>
    <w:p w:rsidR="00293AC6" w:rsidRPr="00293AC6" w:rsidRDefault="00293AC6" w:rsidP="003F1A5A">
      <w:pPr>
        <w:shd w:val="clear" w:color="auto" w:fill="FFFFFF"/>
        <w:spacing w:before="100" w:beforeAutospacing="1" w:after="100" w:afterAutospacing="1"/>
        <w:jc w:val="left"/>
        <w:rPr>
          <w:rStyle w:val="Strong"/>
          <w:i/>
          <w:szCs w:val="24"/>
          <w:lang w:val="en-US"/>
        </w:rPr>
      </w:pPr>
      <w:r w:rsidRPr="00293AC6">
        <w:rPr>
          <w:rStyle w:val="Strong"/>
          <w:i/>
          <w:szCs w:val="24"/>
          <w:lang w:val="en-US"/>
        </w:rPr>
        <w:lastRenderedPageBreak/>
        <w:t>Regulations and Policies</w:t>
      </w:r>
    </w:p>
    <w:p w:rsidR="003F1A5A" w:rsidRPr="00293AC6" w:rsidRDefault="003F1A5A" w:rsidP="003F1A5A">
      <w:pPr>
        <w:shd w:val="clear" w:color="auto" w:fill="FFFFFF"/>
        <w:spacing w:before="100" w:beforeAutospacing="1" w:after="100" w:afterAutospacing="1"/>
        <w:jc w:val="left"/>
        <w:rPr>
          <w:szCs w:val="24"/>
          <w:lang w:val="en-US"/>
        </w:rPr>
      </w:pPr>
      <w:r w:rsidRPr="00293AC6">
        <w:rPr>
          <w:rStyle w:val="Strong"/>
          <w:b w:val="0"/>
          <w:szCs w:val="24"/>
          <w:lang w:val="en-US"/>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6" w:tooltip="Code of Student Conduct, on the OSU Student Life website." w:history="1">
        <w:r w:rsidRPr="00293AC6">
          <w:rPr>
            <w:rStyle w:val="Hyperlink"/>
            <w:bCs/>
            <w:color w:val="auto"/>
            <w:szCs w:val="24"/>
            <w:lang w:val="en-US"/>
          </w:rPr>
          <w:t>http://studentlife.osu.edu/csc/</w:t>
        </w:r>
      </w:hyperlink>
      <w:r w:rsidRPr="00293AC6">
        <w:rPr>
          <w:rStyle w:val="Strong"/>
          <w:b w:val="0"/>
          <w:szCs w:val="24"/>
          <w:lang w:val="en-US"/>
        </w:rPr>
        <w:t>.</w:t>
      </w:r>
    </w:p>
    <w:p w:rsidR="003F1A5A" w:rsidRPr="00293AC6" w:rsidRDefault="003F1A5A" w:rsidP="003F1A5A">
      <w:pPr>
        <w:shd w:val="clear" w:color="auto" w:fill="FFFFFF"/>
        <w:spacing w:before="100" w:beforeAutospacing="1" w:after="100" w:afterAutospacing="1"/>
        <w:jc w:val="left"/>
        <w:rPr>
          <w:szCs w:val="24"/>
          <w:lang w:val="en-US"/>
        </w:rPr>
      </w:pPr>
      <w:r w:rsidRPr="00293AC6">
        <w:rPr>
          <w:rStyle w:val="Strong"/>
          <w:b w:val="0"/>
          <w:szCs w:val="24"/>
          <w:lang w:val="en-US"/>
        </w:rPr>
        <w:t>The following statement about disability services</w:t>
      </w:r>
      <w:r w:rsidRPr="00293AC6">
        <w:rPr>
          <w:szCs w:val="24"/>
          <w:lang w:val="en-US"/>
        </w:rPr>
        <w:t> (recommended 16 point font)</w:t>
      </w:r>
      <w:proofErr w:type="gramStart"/>
      <w:r w:rsidRPr="00293AC6">
        <w:rPr>
          <w:szCs w:val="24"/>
          <w:lang w:val="en-US"/>
        </w:rPr>
        <w:t>:</w:t>
      </w:r>
      <w:proofErr w:type="gramEnd"/>
      <w:r w:rsidRPr="00293AC6">
        <w:rPr>
          <w:szCs w:val="24"/>
          <w:lang w:val="en-US"/>
        </w:rPr>
        <w:br/>
      </w:r>
      <w:r w:rsidRPr="00293AC6">
        <w:rPr>
          <w:rStyle w:val="Strong"/>
          <w:b w:val="0"/>
          <w:szCs w:val="24"/>
          <w:lang w:val="en-US"/>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7" w:tooltip="email for SLDS" w:history="1">
        <w:r w:rsidRPr="00293AC6">
          <w:rPr>
            <w:rStyle w:val="Hyperlink"/>
            <w:bCs/>
            <w:color w:val="auto"/>
            <w:szCs w:val="24"/>
            <w:lang w:val="en-US"/>
          </w:rPr>
          <w:t>slds@osu.edu</w:t>
        </w:r>
      </w:hyperlink>
      <w:r w:rsidRPr="00293AC6">
        <w:rPr>
          <w:rStyle w:val="Strong"/>
          <w:b w:val="0"/>
          <w:szCs w:val="24"/>
          <w:lang w:val="en-US"/>
        </w:rPr>
        <w:t>; 614-292-3307; </w:t>
      </w:r>
      <w:hyperlink r:id="rId8" w:tooltip="SLDS website" w:history="1">
        <w:r w:rsidRPr="00293AC6">
          <w:rPr>
            <w:rStyle w:val="Hyperlink"/>
            <w:bCs/>
            <w:color w:val="auto"/>
            <w:szCs w:val="24"/>
            <w:lang w:val="en-US"/>
          </w:rPr>
          <w:t>slds.osu.edu</w:t>
        </w:r>
      </w:hyperlink>
      <w:r w:rsidRPr="00293AC6">
        <w:rPr>
          <w:rStyle w:val="Strong"/>
          <w:b w:val="0"/>
          <w:szCs w:val="24"/>
          <w:lang w:val="en-US"/>
        </w:rPr>
        <w:t>; 098 Baker Hall, 113 W. 12</w:t>
      </w:r>
      <w:r w:rsidRPr="00293AC6">
        <w:rPr>
          <w:rStyle w:val="Strong"/>
          <w:b w:val="0"/>
          <w:szCs w:val="24"/>
          <w:vertAlign w:val="superscript"/>
          <w:lang w:val="en-US"/>
        </w:rPr>
        <w:t>th</w:t>
      </w:r>
      <w:r w:rsidRPr="00293AC6">
        <w:rPr>
          <w:rStyle w:val="Strong"/>
          <w:b w:val="0"/>
          <w:szCs w:val="24"/>
          <w:lang w:val="en-US"/>
        </w:rPr>
        <w:t> Avenue</w:t>
      </w:r>
      <w:r w:rsidRPr="00293AC6">
        <w:rPr>
          <w:szCs w:val="24"/>
          <w:lang w:val="en-US"/>
        </w:rPr>
        <w:t>.</w:t>
      </w:r>
    </w:p>
    <w:p w:rsidR="003F1A5A" w:rsidRDefault="00293AC6" w:rsidP="00465D3C">
      <w:pPr>
        <w:pStyle w:val="NormalWeb"/>
        <w:rPr>
          <w:b/>
          <w:i/>
          <w:color w:val="000000"/>
        </w:rPr>
      </w:pPr>
      <w:r w:rsidRPr="00293AC6">
        <w:rPr>
          <w:b/>
          <w:i/>
          <w:color w:val="000000"/>
        </w:rPr>
        <w:t xml:space="preserve">Weekly Outline </w:t>
      </w:r>
    </w:p>
    <w:tbl>
      <w:tblPr>
        <w:tblStyle w:val="TableGrid"/>
        <w:tblW w:w="0" w:type="auto"/>
        <w:tblInd w:w="198" w:type="dxa"/>
        <w:tblLook w:val="04A0"/>
      </w:tblPr>
      <w:tblGrid>
        <w:gridCol w:w="810"/>
        <w:gridCol w:w="3150"/>
        <w:gridCol w:w="4860"/>
      </w:tblGrid>
      <w:tr w:rsidR="00350E3A" w:rsidRPr="00350E3A" w:rsidTr="00350441">
        <w:tc>
          <w:tcPr>
            <w:tcW w:w="810" w:type="dxa"/>
            <w:shd w:val="clear" w:color="auto" w:fill="BFBFBF" w:themeFill="background1" w:themeFillShade="BF"/>
            <w:vAlign w:val="center"/>
          </w:tcPr>
          <w:p w:rsidR="00293AC6" w:rsidRPr="00350E3A" w:rsidRDefault="00293AC6" w:rsidP="003700F3">
            <w:pPr>
              <w:pStyle w:val="NormalWeb"/>
              <w:jc w:val="center"/>
            </w:pPr>
            <w:r w:rsidRPr="00350E3A">
              <w:t>Week</w:t>
            </w:r>
          </w:p>
        </w:tc>
        <w:tc>
          <w:tcPr>
            <w:tcW w:w="3150" w:type="dxa"/>
            <w:shd w:val="clear" w:color="auto" w:fill="BFBFBF" w:themeFill="background1" w:themeFillShade="BF"/>
            <w:vAlign w:val="center"/>
          </w:tcPr>
          <w:p w:rsidR="00293AC6" w:rsidRPr="00350E3A" w:rsidRDefault="00293AC6" w:rsidP="003700F3">
            <w:pPr>
              <w:pStyle w:val="NormalWeb"/>
            </w:pPr>
            <w:r w:rsidRPr="00350E3A">
              <w:t>Topic</w:t>
            </w:r>
          </w:p>
        </w:tc>
        <w:tc>
          <w:tcPr>
            <w:tcW w:w="4860" w:type="dxa"/>
            <w:shd w:val="clear" w:color="auto" w:fill="BFBFBF" w:themeFill="background1" w:themeFillShade="BF"/>
            <w:vAlign w:val="center"/>
          </w:tcPr>
          <w:p w:rsidR="00293AC6" w:rsidRPr="00350E3A" w:rsidRDefault="00293AC6" w:rsidP="00662943">
            <w:pPr>
              <w:pStyle w:val="NormalWeb"/>
            </w:pPr>
            <w:r w:rsidRPr="00350E3A">
              <w:t>Assigned Reading</w:t>
            </w:r>
            <w:r w:rsidR="00662943" w:rsidRPr="00350E3A">
              <w:t>s*</w:t>
            </w:r>
          </w:p>
        </w:tc>
      </w:tr>
      <w:tr w:rsidR="00293AC6" w:rsidRPr="00350E3A" w:rsidTr="00350441">
        <w:tc>
          <w:tcPr>
            <w:tcW w:w="810" w:type="dxa"/>
            <w:vAlign w:val="center"/>
          </w:tcPr>
          <w:p w:rsidR="00293AC6" w:rsidRPr="00350E3A" w:rsidRDefault="00293AC6" w:rsidP="003700F3">
            <w:pPr>
              <w:pStyle w:val="NormalWeb"/>
              <w:jc w:val="center"/>
            </w:pPr>
            <w:r w:rsidRPr="00350E3A">
              <w:t>1</w:t>
            </w:r>
          </w:p>
        </w:tc>
        <w:tc>
          <w:tcPr>
            <w:tcW w:w="3150" w:type="dxa"/>
            <w:vAlign w:val="center"/>
          </w:tcPr>
          <w:p w:rsidR="00293AC6" w:rsidRPr="00350E3A" w:rsidRDefault="00293AC6" w:rsidP="003700F3">
            <w:pPr>
              <w:pStyle w:val="NormalWeb"/>
            </w:pPr>
            <w:r w:rsidRPr="00350E3A">
              <w:t>Defining Social Change</w:t>
            </w:r>
          </w:p>
        </w:tc>
        <w:tc>
          <w:tcPr>
            <w:tcW w:w="4860" w:type="dxa"/>
            <w:vAlign w:val="center"/>
          </w:tcPr>
          <w:p w:rsidR="00293AC6" w:rsidRPr="00350E3A" w:rsidRDefault="00662943" w:rsidP="003700F3">
            <w:pPr>
              <w:pStyle w:val="NormalWeb"/>
            </w:pPr>
            <w:r w:rsidRPr="00350E3A">
              <w:t>TBD</w:t>
            </w:r>
          </w:p>
        </w:tc>
      </w:tr>
      <w:tr w:rsidR="00293AC6" w:rsidRPr="00350E3A" w:rsidTr="00350441">
        <w:tc>
          <w:tcPr>
            <w:tcW w:w="810" w:type="dxa"/>
            <w:vAlign w:val="center"/>
          </w:tcPr>
          <w:p w:rsidR="00293AC6" w:rsidRPr="00350E3A" w:rsidRDefault="00293AC6" w:rsidP="003700F3">
            <w:pPr>
              <w:pStyle w:val="NormalWeb"/>
              <w:jc w:val="center"/>
            </w:pPr>
            <w:r w:rsidRPr="00350E3A">
              <w:t>2</w:t>
            </w:r>
          </w:p>
        </w:tc>
        <w:tc>
          <w:tcPr>
            <w:tcW w:w="3150" w:type="dxa"/>
            <w:vAlign w:val="center"/>
          </w:tcPr>
          <w:p w:rsidR="00293AC6" w:rsidRPr="00350E3A" w:rsidRDefault="006D58C2" w:rsidP="006B083C">
            <w:pPr>
              <w:pStyle w:val="NormalWeb"/>
            </w:pPr>
            <w:r w:rsidRPr="00350E3A">
              <w:t>Dimensions of Social Change</w:t>
            </w:r>
          </w:p>
        </w:tc>
        <w:tc>
          <w:tcPr>
            <w:tcW w:w="4860" w:type="dxa"/>
            <w:vAlign w:val="center"/>
          </w:tcPr>
          <w:p w:rsidR="00293AC6" w:rsidRPr="00350E3A" w:rsidRDefault="00627703" w:rsidP="003700F3">
            <w:pPr>
              <w:pStyle w:val="NormalWeb"/>
            </w:pPr>
            <w:proofErr w:type="spellStart"/>
            <w:r w:rsidRPr="00350E3A">
              <w:t>Gladwell</w:t>
            </w:r>
            <w:proofErr w:type="spellEnd"/>
            <w:r w:rsidRPr="00350E3A">
              <w:t xml:space="preserve"> (2010) – Small Change: Why the Revolution Will Not be Tweeted</w:t>
            </w:r>
          </w:p>
        </w:tc>
      </w:tr>
      <w:tr w:rsidR="00293AC6" w:rsidRPr="00350E3A" w:rsidTr="00350441">
        <w:tc>
          <w:tcPr>
            <w:tcW w:w="810" w:type="dxa"/>
            <w:vAlign w:val="center"/>
          </w:tcPr>
          <w:p w:rsidR="00293AC6" w:rsidRPr="00350E3A" w:rsidRDefault="00293AC6" w:rsidP="003700F3">
            <w:pPr>
              <w:pStyle w:val="NormalWeb"/>
              <w:jc w:val="center"/>
            </w:pPr>
            <w:r w:rsidRPr="00350E3A">
              <w:t>3</w:t>
            </w:r>
          </w:p>
        </w:tc>
        <w:tc>
          <w:tcPr>
            <w:tcW w:w="3150" w:type="dxa"/>
            <w:vAlign w:val="center"/>
          </w:tcPr>
          <w:p w:rsidR="00293AC6" w:rsidRPr="00350E3A" w:rsidRDefault="006D58C2" w:rsidP="00350441">
            <w:pPr>
              <w:pStyle w:val="NormalWeb"/>
            </w:pPr>
            <w:r w:rsidRPr="00350E3A">
              <w:t>Economic Processes</w:t>
            </w:r>
            <w:r w:rsidR="00662943" w:rsidRPr="00350E3A">
              <w:t xml:space="preserve"> </w:t>
            </w:r>
            <w:r w:rsidR="00350441" w:rsidRPr="00350E3A">
              <w:t>from the Industrial Revolution to the Present</w:t>
            </w:r>
          </w:p>
        </w:tc>
        <w:tc>
          <w:tcPr>
            <w:tcW w:w="4860" w:type="dxa"/>
            <w:vAlign w:val="center"/>
          </w:tcPr>
          <w:p w:rsidR="00293AC6" w:rsidRPr="00350E3A" w:rsidRDefault="003700F3" w:rsidP="003E4DC7">
            <w:pPr>
              <w:pStyle w:val="NormalWeb"/>
            </w:pPr>
            <w:r w:rsidRPr="00350E3A">
              <w:t>Reich (2008) –</w:t>
            </w:r>
            <w:r w:rsidR="003E4DC7" w:rsidRPr="00350E3A">
              <w:t xml:space="preserve"> </w:t>
            </w:r>
            <w:proofErr w:type="spellStart"/>
            <w:r w:rsidRPr="00350E3A">
              <w:t>Supercapitalism</w:t>
            </w:r>
            <w:proofErr w:type="spellEnd"/>
            <w:r w:rsidRPr="00350E3A">
              <w:t>: The Transformation of Business, Democracy, and Everyday Life</w:t>
            </w:r>
            <w:r w:rsidR="003E4DC7" w:rsidRPr="00350E3A">
              <w:t>, Chapter 2</w:t>
            </w:r>
          </w:p>
        </w:tc>
      </w:tr>
      <w:tr w:rsidR="006D58C2" w:rsidRPr="00350E3A" w:rsidTr="00350441">
        <w:tc>
          <w:tcPr>
            <w:tcW w:w="810" w:type="dxa"/>
            <w:vAlign w:val="center"/>
          </w:tcPr>
          <w:p w:rsidR="006D58C2" w:rsidRPr="00350E3A" w:rsidRDefault="006D58C2" w:rsidP="003700F3">
            <w:pPr>
              <w:pStyle w:val="NormalWeb"/>
              <w:jc w:val="center"/>
            </w:pPr>
            <w:r w:rsidRPr="00350E3A">
              <w:t>4</w:t>
            </w:r>
          </w:p>
        </w:tc>
        <w:tc>
          <w:tcPr>
            <w:tcW w:w="3150" w:type="dxa"/>
            <w:vAlign w:val="center"/>
          </w:tcPr>
          <w:p w:rsidR="006D58C2" w:rsidRPr="00350E3A" w:rsidRDefault="006D58C2" w:rsidP="00350441">
            <w:pPr>
              <w:pStyle w:val="NormalWeb"/>
            </w:pPr>
            <w:r w:rsidRPr="00350E3A">
              <w:t xml:space="preserve">Demographic </w:t>
            </w:r>
            <w:r w:rsidR="00350441" w:rsidRPr="00350E3A">
              <w:t>Drivers of</w:t>
            </w:r>
            <w:r w:rsidR="00662943" w:rsidRPr="00350E3A">
              <w:t xml:space="preserve"> Social Change</w:t>
            </w:r>
          </w:p>
        </w:tc>
        <w:tc>
          <w:tcPr>
            <w:tcW w:w="4860" w:type="dxa"/>
            <w:vAlign w:val="center"/>
          </w:tcPr>
          <w:p w:rsidR="006D58C2" w:rsidRPr="00350E3A" w:rsidRDefault="003E4DC7" w:rsidP="006B083C">
            <w:pPr>
              <w:autoSpaceDE w:val="0"/>
              <w:autoSpaceDN w:val="0"/>
              <w:adjustRightInd w:val="0"/>
              <w:jc w:val="left"/>
              <w:rPr>
                <w:rFonts w:ascii="Palatino-Roman" w:hAnsi="Palatino-Roman" w:cs="Palatino-Roman"/>
                <w:sz w:val="36"/>
                <w:szCs w:val="36"/>
                <w:lang w:val="en-US" w:eastAsia="en-US"/>
              </w:rPr>
            </w:pPr>
            <w:proofErr w:type="spellStart"/>
            <w:r w:rsidRPr="00350E3A">
              <w:rPr>
                <w:rFonts w:eastAsia="Times New Roman"/>
                <w:szCs w:val="24"/>
                <w:lang w:val="en-US" w:eastAsia="en-US"/>
              </w:rPr>
              <w:t>Camarillo</w:t>
            </w:r>
            <w:proofErr w:type="spellEnd"/>
            <w:r w:rsidRPr="00350E3A">
              <w:rPr>
                <w:rFonts w:eastAsia="Times New Roman"/>
                <w:szCs w:val="24"/>
                <w:lang w:val="en-US" w:eastAsia="en-US"/>
              </w:rPr>
              <w:t xml:space="preserve"> &amp; Bonilla (2001) - Hispanics in a Multicultural Society:</w:t>
            </w:r>
            <w:r w:rsidR="006B083C" w:rsidRPr="00350E3A">
              <w:rPr>
                <w:rFonts w:eastAsia="Times New Roman"/>
                <w:szCs w:val="24"/>
                <w:lang w:val="en-US" w:eastAsia="en-US"/>
              </w:rPr>
              <w:t xml:space="preserve"> </w:t>
            </w:r>
            <w:r w:rsidRPr="00350E3A">
              <w:rPr>
                <w:rFonts w:eastAsia="Times New Roman"/>
                <w:szCs w:val="24"/>
                <w:lang w:val="en-US" w:eastAsia="en-US"/>
              </w:rPr>
              <w:t>A New American Dilemma?</w:t>
            </w:r>
          </w:p>
        </w:tc>
      </w:tr>
      <w:tr w:rsidR="006D58C2" w:rsidRPr="00350E3A" w:rsidTr="00350441">
        <w:tc>
          <w:tcPr>
            <w:tcW w:w="810" w:type="dxa"/>
            <w:vAlign w:val="center"/>
          </w:tcPr>
          <w:p w:rsidR="006D58C2" w:rsidRPr="00350E3A" w:rsidRDefault="006D58C2" w:rsidP="003700F3">
            <w:pPr>
              <w:pStyle w:val="NormalWeb"/>
              <w:jc w:val="center"/>
            </w:pPr>
            <w:r w:rsidRPr="00350E3A">
              <w:t>5</w:t>
            </w:r>
          </w:p>
        </w:tc>
        <w:tc>
          <w:tcPr>
            <w:tcW w:w="3150" w:type="dxa"/>
            <w:vAlign w:val="center"/>
          </w:tcPr>
          <w:p w:rsidR="006D58C2" w:rsidRPr="00350E3A" w:rsidRDefault="006D58C2" w:rsidP="00662943">
            <w:pPr>
              <w:pStyle w:val="NormalWeb"/>
            </w:pPr>
            <w:r w:rsidRPr="00350E3A">
              <w:t>Cultur</w:t>
            </w:r>
            <w:r w:rsidR="00662943" w:rsidRPr="00350E3A">
              <w:t xml:space="preserve">e: A Cause or a Consequence </w:t>
            </w:r>
          </w:p>
        </w:tc>
        <w:tc>
          <w:tcPr>
            <w:tcW w:w="4860" w:type="dxa"/>
            <w:vAlign w:val="center"/>
          </w:tcPr>
          <w:p w:rsidR="006D58C2" w:rsidRPr="00350E3A" w:rsidRDefault="00D86431" w:rsidP="003700F3">
            <w:pPr>
              <w:pStyle w:val="NormalWeb"/>
            </w:pPr>
            <w:r w:rsidRPr="00350E3A">
              <w:t>Estep (2017) - Neighborhood political composition and personal belief exemptions from immunization requirements in California Kindergartens, 2000–2015</w:t>
            </w:r>
          </w:p>
        </w:tc>
      </w:tr>
      <w:tr w:rsidR="006B083C" w:rsidRPr="00350E3A" w:rsidTr="00350441">
        <w:tc>
          <w:tcPr>
            <w:tcW w:w="810" w:type="dxa"/>
            <w:vAlign w:val="center"/>
          </w:tcPr>
          <w:p w:rsidR="006B083C" w:rsidRPr="00350E3A" w:rsidRDefault="006B083C" w:rsidP="003700F3">
            <w:pPr>
              <w:pStyle w:val="NormalWeb"/>
              <w:jc w:val="center"/>
            </w:pPr>
            <w:r w:rsidRPr="00350E3A">
              <w:t>6</w:t>
            </w:r>
          </w:p>
        </w:tc>
        <w:tc>
          <w:tcPr>
            <w:tcW w:w="3150" w:type="dxa"/>
            <w:vAlign w:val="center"/>
          </w:tcPr>
          <w:p w:rsidR="006B083C" w:rsidRPr="00350E3A" w:rsidRDefault="00662943" w:rsidP="00BB689F">
            <w:pPr>
              <w:pStyle w:val="NormalWeb"/>
            </w:pPr>
            <w:r w:rsidRPr="00350E3A">
              <w:t>Political Contestation and Social Movements</w:t>
            </w:r>
          </w:p>
        </w:tc>
        <w:tc>
          <w:tcPr>
            <w:tcW w:w="4860" w:type="dxa"/>
            <w:vAlign w:val="center"/>
          </w:tcPr>
          <w:p w:rsidR="006B083C" w:rsidRPr="00350E3A" w:rsidRDefault="006B083C" w:rsidP="00D86431">
            <w:pPr>
              <w:autoSpaceDE w:val="0"/>
              <w:autoSpaceDN w:val="0"/>
              <w:adjustRightInd w:val="0"/>
              <w:jc w:val="left"/>
              <w:rPr>
                <w:rFonts w:eastAsia="Times New Roman"/>
                <w:szCs w:val="24"/>
                <w:lang w:val="en-US" w:eastAsia="en-US"/>
              </w:rPr>
            </w:pPr>
            <w:r w:rsidRPr="00350E3A">
              <w:rPr>
                <w:lang w:val="en-US"/>
              </w:rPr>
              <w:t xml:space="preserve">Snow, </w:t>
            </w:r>
            <w:r w:rsidRPr="00350E3A">
              <w:rPr>
                <w:rFonts w:eastAsia="Times New Roman"/>
                <w:szCs w:val="24"/>
                <w:lang w:val="en-US" w:eastAsia="en-US"/>
              </w:rPr>
              <w:t xml:space="preserve">Soule &amp; </w:t>
            </w:r>
            <w:proofErr w:type="spellStart"/>
            <w:r w:rsidRPr="00350E3A">
              <w:rPr>
                <w:rFonts w:eastAsia="Times New Roman"/>
                <w:szCs w:val="24"/>
                <w:lang w:val="en-US" w:eastAsia="en-US"/>
              </w:rPr>
              <w:t>Kriesi</w:t>
            </w:r>
            <w:proofErr w:type="spellEnd"/>
            <w:r w:rsidRPr="00350E3A">
              <w:rPr>
                <w:rFonts w:eastAsia="Times New Roman"/>
                <w:szCs w:val="24"/>
                <w:lang w:val="en-US" w:eastAsia="en-US"/>
              </w:rPr>
              <w:t xml:space="preserve"> (2004): Mapping the Terrain </w:t>
            </w:r>
            <w:r w:rsidR="00D86431" w:rsidRPr="00350E3A">
              <w:rPr>
                <w:rFonts w:eastAsia="Times New Roman"/>
                <w:szCs w:val="24"/>
                <w:lang w:val="en-US" w:eastAsia="en-US"/>
              </w:rPr>
              <w:t>–</w:t>
            </w:r>
            <w:r w:rsidRPr="00350E3A">
              <w:rPr>
                <w:rFonts w:eastAsia="Times New Roman"/>
                <w:szCs w:val="24"/>
                <w:lang w:val="en-US" w:eastAsia="en-US"/>
              </w:rPr>
              <w:t xml:space="preserve"> </w:t>
            </w:r>
            <w:r w:rsidR="00D86431" w:rsidRPr="00350E3A">
              <w:rPr>
                <w:rFonts w:eastAsia="Times New Roman"/>
                <w:szCs w:val="24"/>
                <w:lang w:val="en-US" w:eastAsia="en-US"/>
              </w:rPr>
              <w:t xml:space="preserve">Chapter 1, </w:t>
            </w:r>
            <w:r w:rsidRPr="00350E3A">
              <w:rPr>
                <w:rFonts w:eastAsia="Times New Roman"/>
                <w:szCs w:val="24"/>
                <w:lang w:val="en-US" w:eastAsia="en-US"/>
              </w:rPr>
              <w:t>Blackwell Companion</w:t>
            </w:r>
            <w:r w:rsidR="00D86431" w:rsidRPr="00350E3A">
              <w:rPr>
                <w:rFonts w:eastAsia="Times New Roman"/>
                <w:szCs w:val="24"/>
                <w:lang w:val="en-US" w:eastAsia="en-US"/>
              </w:rPr>
              <w:t xml:space="preserve"> </w:t>
            </w:r>
            <w:r w:rsidRPr="00350E3A">
              <w:rPr>
                <w:szCs w:val="24"/>
                <w:lang w:val="en-US" w:eastAsia="en-US"/>
              </w:rPr>
              <w:t>to Social Movements</w:t>
            </w:r>
          </w:p>
        </w:tc>
      </w:tr>
      <w:tr w:rsidR="006B083C" w:rsidRPr="00350E3A" w:rsidTr="00350441">
        <w:tc>
          <w:tcPr>
            <w:tcW w:w="810" w:type="dxa"/>
            <w:vAlign w:val="center"/>
          </w:tcPr>
          <w:p w:rsidR="006B083C" w:rsidRPr="00350E3A" w:rsidRDefault="006B083C" w:rsidP="003700F3">
            <w:pPr>
              <w:pStyle w:val="NormalWeb"/>
              <w:jc w:val="center"/>
            </w:pPr>
            <w:r w:rsidRPr="00350E3A">
              <w:t>7</w:t>
            </w:r>
          </w:p>
        </w:tc>
        <w:tc>
          <w:tcPr>
            <w:tcW w:w="3150" w:type="dxa"/>
            <w:vAlign w:val="center"/>
          </w:tcPr>
          <w:p w:rsidR="006B083C" w:rsidRPr="00350E3A" w:rsidRDefault="006B083C" w:rsidP="00BB689F">
            <w:pPr>
              <w:pStyle w:val="NormalWeb"/>
            </w:pPr>
            <w:r w:rsidRPr="00350E3A">
              <w:t>Social Movements: Successes and Failures</w:t>
            </w:r>
          </w:p>
        </w:tc>
        <w:tc>
          <w:tcPr>
            <w:tcW w:w="4860" w:type="dxa"/>
            <w:vAlign w:val="center"/>
          </w:tcPr>
          <w:p w:rsidR="00D86431" w:rsidRPr="00350E3A" w:rsidRDefault="00D86431" w:rsidP="000D061F">
            <w:pPr>
              <w:pStyle w:val="NormalWeb"/>
            </w:pPr>
            <w:r w:rsidRPr="00350E3A">
              <w:t>Ehrenberg (2017) - What can we learn from Occupy’s failure?</w:t>
            </w:r>
          </w:p>
        </w:tc>
      </w:tr>
      <w:tr w:rsidR="006B083C" w:rsidRPr="00350E3A" w:rsidTr="00350441">
        <w:tc>
          <w:tcPr>
            <w:tcW w:w="810" w:type="dxa"/>
            <w:vAlign w:val="center"/>
          </w:tcPr>
          <w:p w:rsidR="006B083C" w:rsidRPr="00350E3A" w:rsidRDefault="006B083C" w:rsidP="003700F3">
            <w:pPr>
              <w:pStyle w:val="NormalWeb"/>
              <w:jc w:val="center"/>
            </w:pPr>
            <w:r w:rsidRPr="00350E3A">
              <w:t>8</w:t>
            </w:r>
          </w:p>
        </w:tc>
        <w:tc>
          <w:tcPr>
            <w:tcW w:w="3150" w:type="dxa"/>
            <w:vAlign w:val="center"/>
          </w:tcPr>
          <w:p w:rsidR="006B083C" w:rsidRPr="00350E3A" w:rsidRDefault="00662943" w:rsidP="00662943">
            <w:pPr>
              <w:pStyle w:val="NormalWeb"/>
            </w:pPr>
            <w:r w:rsidRPr="00350E3A">
              <w:t>Civil Resistance</w:t>
            </w:r>
            <w:r w:rsidR="006B083C" w:rsidRPr="00350E3A">
              <w:t xml:space="preserve"> vs. </w:t>
            </w:r>
            <w:r w:rsidRPr="00350E3A">
              <w:t>Revolutionary Violence</w:t>
            </w:r>
          </w:p>
        </w:tc>
        <w:tc>
          <w:tcPr>
            <w:tcW w:w="4860" w:type="dxa"/>
            <w:vAlign w:val="center"/>
          </w:tcPr>
          <w:p w:rsidR="006B083C" w:rsidRPr="00350E3A" w:rsidRDefault="006B083C" w:rsidP="00BB689F">
            <w:pPr>
              <w:autoSpaceDE w:val="0"/>
              <w:autoSpaceDN w:val="0"/>
              <w:adjustRightInd w:val="0"/>
              <w:jc w:val="left"/>
              <w:rPr>
                <w:rFonts w:ascii="Arial" w:hAnsi="Arial" w:cs="Arial"/>
                <w:b/>
                <w:bCs/>
                <w:sz w:val="32"/>
                <w:szCs w:val="32"/>
                <w:lang w:val="en-US" w:eastAsia="en-US"/>
              </w:rPr>
            </w:pPr>
            <w:r w:rsidRPr="00350E3A">
              <w:rPr>
                <w:rFonts w:eastAsia="Times New Roman"/>
                <w:szCs w:val="24"/>
                <w:lang w:val="en-US" w:eastAsia="en-US"/>
              </w:rPr>
              <w:t>Stephan &amp; Chenoweth (2008) - Why Civil Resistance Works: The Strategic Logic of Nonviolent Conflict</w:t>
            </w:r>
          </w:p>
        </w:tc>
      </w:tr>
      <w:tr w:rsidR="006B083C" w:rsidRPr="00350E3A" w:rsidTr="00350441">
        <w:tc>
          <w:tcPr>
            <w:tcW w:w="810" w:type="dxa"/>
            <w:vAlign w:val="center"/>
          </w:tcPr>
          <w:p w:rsidR="006B083C" w:rsidRPr="00350E3A" w:rsidRDefault="006B083C" w:rsidP="003700F3">
            <w:pPr>
              <w:pStyle w:val="NormalWeb"/>
              <w:jc w:val="center"/>
            </w:pPr>
            <w:r w:rsidRPr="00350E3A">
              <w:t>9</w:t>
            </w:r>
          </w:p>
        </w:tc>
        <w:tc>
          <w:tcPr>
            <w:tcW w:w="3150" w:type="dxa"/>
            <w:vAlign w:val="center"/>
          </w:tcPr>
          <w:p w:rsidR="006B083C" w:rsidRPr="00350E3A" w:rsidRDefault="000D061F" w:rsidP="00BB689F">
            <w:pPr>
              <w:pStyle w:val="NormalWeb"/>
            </w:pPr>
            <w:r w:rsidRPr="00350E3A">
              <w:t xml:space="preserve">International </w:t>
            </w:r>
            <w:r w:rsidR="006B083C" w:rsidRPr="00350E3A">
              <w:t xml:space="preserve">Development </w:t>
            </w:r>
            <w:r w:rsidRPr="00350E3A">
              <w:t>Cooperation</w:t>
            </w:r>
          </w:p>
        </w:tc>
        <w:tc>
          <w:tcPr>
            <w:tcW w:w="4860" w:type="dxa"/>
            <w:vAlign w:val="center"/>
          </w:tcPr>
          <w:p w:rsidR="006B083C" w:rsidRPr="00350E3A" w:rsidRDefault="000D061F" w:rsidP="00662943">
            <w:pPr>
              <w:pStyle w:val="NormalWeb"/>
            </w:pPr>
            <w:r w:rsidRPr="00350E3A">
              <w:t xml:space="preserve">Gore (2013) </w:t>
            </w:r>
            <w:r w:rsidR="00662943" w:rsidRPr="00350E3A">
              <w:t>–</w:t>
            </w:r>
            <w:r w:rsidRPr="00350E3A">
              <w:t xml:space="preserve"> </w:t>
            </w:r>
            <w:r w:rsidR="00662943" w:rsidRPr="00350E3A">
              <w:t xml:space="preserve">The New Development Cooperation Landscape: Actors, Approaches, </w:t>
            </w:r>
            <w:r w:rsidR="00662943" w:rsidRPr="00350E3A">
              <w:lastRenderedPageBreak/>
              <w:t>Architecture</w:t>
            </w:r>
          </w:p>
        </w:tc>
      </w:tr>
      <w:tr w:rsidR="006B083C" w:rsidRPr="00350E3A" w:rsidTr="00350441">
        <w:tc>
          <w:tcPr>
            <w:tcW w:w="810" w:type="dxa"/>
            <w:vAlign w:val="center"/>
          </w:tcPr>
          <w:p w:rsidR="006B083C" w:rsidRPr="00350E3A" w:rsidRDefault="006B083C" w:rsidP="003700F3">
            <w:pPr>
              <w:pStyle w:val="NormalWeb"/>
              <w:jc w:val="center"/>
            </w:pPr>
            <w:r w:rsidRPr="00350E3A">
              <w:lastRenderedPageBreak/>
              <w:t>10</w:t>
            </w:r>
          </w:p>
        </w:tc>
        <w:tc>
          <w:tcPr>
            <w:tcW w:w="3150" w:type="dxa"/>
            <w:vAlign w:val="center"/>
          </w:tcPr>
          <w:p w:rsidR="006B083C" w:rsidRPr="00350E3A" w:rsidRDefault="006B083C" w:rsidP="000D061F">
            <w:pPr>
              <w:pStyle w:val="NormalWeb"/>
            </w:pPr>
            <w:r w:rsidRPr="00350E3A">
              <w:t xml:space="preserve">Transnational </w:t>
            </w:r>
            <w:r w:rsidR="000D061F" w:rsidRPr="00350E3A">
              <w:t>Activism</w:t>
            </w:r>
          </w:p>
        </w:tc>
        <w:tc>
          <w:tcPr>
            <w:tcW w:w="4860" w:type="dxa"/>
            <w:vAlign w:val="center"/>
          </w:tcPr>
          <w:p w:rsidR="006B083C" w:rsidRPr="00350E3A" w:rsidRDefault="000D061F" w:rsidP="00BB689F">
            <w:pPr>
              <w:pStyle w:val="NormalWeb"/>
            </w:pPr>
            <w:r w:rsidRPr="00350E3A">
              <w:t xml:space="preserve">Della </w:t>
            </w:r>
            <w:proofErr w:type="spellStart"/>
            <w:r w:rsidRPr="00350E3A">
              <w:t>Porta</w:t>
            </w:r>
            <w:proofErr w:type="spellEnd"/>
            <w:r w:rsidRPr="00350E3A">
              <w:t xml:space="preserve"> &amp; </w:t>
            </w:r>
            <w:proofErr w:type="spellStart"/>
            <w:r w:rsidRPr="00350E3A">
              <w:t>Tarrow</w:t>
            </w:r>
            <w:proofErr w:type="spellEnd"/>
            <w:r w:rsidRPr="00350E3A">
              <w:t xml:space="preserve"> (2005) – Transnational Processes and Social Activism – Chapter 1, Transnational Protest and Global Activism</w:t>
            </w:r>
          </w:p>
        </w:tc>
      </w:tr>
      <w:tr w:rsidR="006B083C" w:rsidRPr="00350E3A" w:rsidTr="00350441">
        <w:tc>
          <w:tcPr>
            <w:tcW w:w="810" w:type="dxa"/>
            <w:vAlign w:val="center"/>
          </w:tcPr>
          <w:p w:rsidR="006B083C" w:rsidRPr="00350E3A" w:rsidRDefault="006B083C" w:rsidP="003700F3">
            <w:pPr>
              <w:pStyle w:val="NormalWeb"/>
              <w:jc w:val="center"/>
            </w:pPr>
            <w:r w:rsidRPr="00350E3A">
              <w:t>11</w:t>
            </w:r>
          </w:p>
        </w:tc>
        <w:tc>
          <w:tcPr>
            <w:tcW w:w="3150" w:type="dxa"/>
            <w:vAlign w:val="center"/>
          </w:tcPr>
          <w:p w:rsidR="006B083C" w:rsidRPr="00350E3A" w:rsidRDefault="006B083C" w:rsidP="00B70AFE">
            <w:pPr>
              <w:pStyle w:val="NormalWeb"/>
            </w:pPr>
            <w:r w:rsidRPr="00350E3A">
              <w:t xml:space="preserve">Social Change in the </w:t>
            </w:r>
            <w:r w:rsidR="00B70AFE" w:rsidRPr="00350E3A">
              <w:t xml:space="preserve">Digital </w:t>
            </w:r>
            <w:r w:rsidRPr="00350E3A">
              <w:t>Age</w:t>
            </w:r>
          </w:p>
        </w:tc>
        <w:tc>
          <w:tcPr>
            <w:tcW w:w="4860" w:type="dxa"/>
            <w:vAlign w:val="center"/>
          </w:tcPr>
          <w:p w:rsidR="006B083C" w:rsidRPr="00350E3A" w:rsidRDefault="00662943" w:rsidP="00BB689F">
            <w:pPr>
              <w:pStyle w:val="NormalWeb"/>
            </w:pPr>
            <w:r w:rsidRPr="00350E3A">
              <w:t>TBD</w:t>
            </w:r>
          </w:p>
        </w:tc>
      </w:tr>
      <w:tr w:rsidR="006D58C2" w:rsidRPr="00350E3A" w:rsidTr="00350441">
        <w:tc>
          <w:tcPr>
            <w:tcW w:w="810" w:type="dxa"/>
            <w:vAlign w:val="center"/>
          </w:tcPr>
          <w:p w:rsidR="006D58C2" w:rsidRPr="00350E3A" w:rsidRDefault="006D58C2" w:rsidP="003700F3">
            <w:pPr>
              <w:pStyle w:val="NormalWeb"/>
              <w:jc w:val="center"/>
            </w:pPr>
            <w:r w:rsidRPr="00350E3A">
              <w:t>12</w:t>
            </w:r>
          </w:p>
        </w:tc>
        <w:tc>
          <w:tcPr>
            <w:tcW w:w="3150" w:type="dxa"/>
            <w:vAlign w:val="center"/>
          </w:tcPr>
          <w:p w:rsidR="006D58C2" w:rsidRPr="00350E3A" w:rsidRDefault="00B70AFE" w:rsidP="003700F3">
            <w:pPr>
              <w:pStyle w:val="NormalWeb"/>
            </w:pPr>
            <w:r w:rsidRPr="00350E3A">
              <w:t>Career</w:t>
            </w:r>
            <w:r w:rsidR="006B083C" w:rsidRPr="00350E3A">
              <w:t xml:space="preserve"> Choices and </w:t>
            </w:r>
            <w:r w:rsidRPr="00350E3A">
              <w:t xml:space="preserve">Personal </w:t>
            </w:r>
            <w:r w:rsidR="006B083C" w:rsidRPr="00350E3A">
              <w:t>Pathways</w:t>
            </w:r>
          </w:p>
        </w:tc>
        <w:tc>
          <w:tcPr>
            <w:tcW w:w="4860" w:type="dxa"/>
            <w:vAlign w:val="center"/>
          </w:tcPr>
          <w:p w:rsidR="006D58C2" w:rsidRPr="00350E3A" w:rsidRDefault="006B083C" w:rsidP="003700F3">
            <w:pPr>
              <w:pStyle w:val="NormalWeb"/>
            </w:pPr>
            <w:r w:rsidRPr="00350E3A">
              <w:t>TBD</w:t>
            </w:r>
          </w:p>
        </w:tc>
      </w:tr>
      <w:tr w:rsidR="006D58C2" w:rsidRPr="00350E3A" w:rsidTr="00350441">
        <w:tc>
          <w:tcPr>
            <w:tcW w:w="810" w:type="dxa"/>
            <w:vAlign w:val="center"/>
          </w:tcPr>
          <w:p w:rsidR="006D58C2" w:rsidRPr="00350E3A" w:rsidRDefault="006D58C2" w:rsidP="003700F3">
            <w:pPr>
              <w:pStyle w:val="NormalWeb"/>
              <w:jc w:val="center"/>
            </w:pPr>
            <w:r w:rsidRPr="00350E3A">
              <w:t>13</w:t>
            </w:r>
          </w:p>
        </w:tc>
        <w:tc>
          <w:tcPr>
            <w:tcW w:w="3150" w:type="dxa"/>
            <w:vAlign w:val="center"/>
          </w:tcPr>
          <w:p w:rsidR="006D58C2" w:rsidRPr="00350E3A" w:rsidRDefault="006D58C2" w:rsidP="003700F3">
            <w:pPr>
              <w:pStyle w:val="NormalWeb"/>
            </w:pPr>
            <w:r w:rsidRPr="00350E3A">
              <w:t>Final Presentations (5)</w:t>
            </w:r>
          </w:p>
        </w:tc>
        <w:tc>
          <w:tcPr>
            <w:tcW w:w="4860" w:type="dxa"/>
            <w:vAlign w:val="center"/>
          </w:tcPr>
          <w:p w:rsidR="006D58C2" w:rsidRPr="00350E3A" w:rsidRDefault="00B70AFE" w:rsidP="003700F3">
            <w:pPr>
              <w:pStyle w:val="NormalWeb"/>
            </w:pPr>
            <w:r w:rsidRPr="00350E3A">
              <w:t>S</w:t>
            </w:r>
            <w:r w:rsidR="000D061F" w:rsidRPr="00350E3A">
              <w:t>ummary sheet for each presentation</w:t>
            </w:r>
          </w:p>
        </w:tc>
      </w:tr>
      <w:tr w:rsidR="00662943" w:rsidRPr="00350E3A" w:rsidTr="00350441">
        <w:tc>
          <w:tcPr>
            <w:tcW w:w="810" w:type="dxa"/>
            <w:vAlign w:val="center"/>
          </w:tcPr>
          <w:p w:rsidR="00662943" w:rsidRPr="00350E3A" w:rsidRDefault="00662943" w:rsidP="00BB689F">
            <w:pPr>
              <w:pStyle w:val="NormalWeb"/>
              <w:jc w:val="center"/>
            </w:pPr>
            <w:r w:rsidRPr="00350E3A">
              <w:t>14</w:t>
            </w:r>
          </w:p>
        </w:tc>
        <w:tc>
          <w:tcPr>
            <w:tcW w:w="3150" w:type="dxa"/>
            <w:vAlign w:val="center"/>
          </w:tcPr>
          <w:p w:rsidR="00662943" w:rsidRPr="00350E3A" w:rsidRDefault="00662943" w:rsidP="00BB689F">
            <w:pPr>
              <w:pStyle w:val="NormalWeb"/>
            </w:pPr>
            <w:r w:rsidRPr="00350E3A">
              <w:t>Final Presentations (5)</w:t>
            </w:r>
          </w:p>
        </w:tc>
        <w:tc>
          <w:tcPr>
            <w:tcW w:w="4860" w:type="dxa"/>
            <w:vAlign w:val="center"/>
          </w:tcPr>
          <w:p w:rsidR="00662943" w:rsidRPr="00350E3A" w:rsidRDefault="00B70AFE" w:rsidP="00BB689F">
            <w:pPr>
              <w:pStyle w:val="NormalWeb"/>
            </w:pPr>
            <w:r w:rsidRPr="00350E3A">
              <w:t>S</w:t>
            </w:r>
            <w:r w:rsidR="00662943" w:rsidRPr="00350E3A">
              <w:t>ummary sheet for each presentation</w:t>
            </w:r>
          </w:p>
        </w:tc>
      </w:tr>
      <w:tr w:rsidR="00662943" w:rsidRPr="00350E3A" w:rsidTr="007B6EAB">
        <w:tc>
          <w:tcPr>
            <w:tcW w:w="8820" w:type="dxa"/>
            <w:gridSpan w:val="3"/>
            <w:vAlign w:val="center"/>
          </w:tcPr>
          <w:p w:rsidR="00662943" w:rsidRPr="00350E3A" w:rsidRDefault="00662943" w:rsidP="00662943">
            <w:pPr>
              <w:pStyle w:val="NormalWeb"/>
              <w:rPr>
                <w:i/>
              </w:rPr>
            </w:pPr>
            <w:r w:rsidRPr="00350E3A">
              <w:rPr>
                <w:i/>
              </w:rPr>
              <w:t>*Readings subject to modification prior to the start of the semester</w:t>
            </w:r>
          </w:p>
        </w:tc>
      </w:tr>
    </w:tbl>
    <w:p w:rsidR="0041447A" w:rsidRPr="00662943" w:rsidRDefault="0041447A" w:rsidP="00662943">
      <w:pPr>
        <w:autoSpaceDE w:val="0"/>
        <w:autoSpaceDN w:val="0"/>
        <w:adjustRightInd w:val="0"/>
        <w:jc w:val="left"/>
        <w:rPr>
          <w:rFonts w:eastAsia="Times New Roman"/>
          <w:color w:val="000000"/>
          <w:szCs w:val="24"/>
          <w:lang w:val="en-US" w:eastAsia="en-US"/>
        </w:rPr>
      </w:pPr>
    </w:p>
    <w:sectPr w:rsidR="0041447A" w:rsidRPr="00662943" w:rsidSect="004144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7F6"/>
    <w:multiLevelType w:val="multilevel"/>
    <w:tmpl w:val="F83E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C1293"/>
    <w:multiLevelType w:val="hybridMultilevel"/>
    <w:tmpl w:val="A534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D3BA5"/>
    <w:multiLevelType w:val="hybridMultilevel"/>
    <w:tmpl w:val="BCC6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C0BF9"/>
    <w:multiLevelType w:val="hybridMultilevel"/>
    <w:tmpl w:val="EBE2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C32ED"/>
    <w:multiLevelType w:val="hybridMultilevel"/>
    <w:tmpl w:val="B308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1215C"/>
    <w:multiLevelType w:val="hybridMultilevel"/>
    <w:tmpl w:val="1A1A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7808EF"/>
    <w:multiLevelType w:val="hybridMultilevel"/>
    <w:tmpl w:val="CEFE9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E85D9D"/>
    <w:multiLevelType w:val="hybridMultilevel"/>
    <w:tmpl w:val="1650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B501E"/>
    <w:multiLevelType w:val="hybridMultilevel"/>
    <w:tmpl w:val="A3E4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7"/>
  </w:num>
  <w:num w:numId="6">
    <w:abstractNumId w:val="0"/>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5D3C"/>
    <w:rsid w:val="00023D91"/>
    <w:rsid w:val="00052A7A"/>
    <w:rsid w:val="00086B79"/>
    <w:rsid w:val="000D061F"/>
    <w:rsid w:val="00271806"/>
    <w:rsid w:val="00293AC6"/>
    <w:rsid w:val="00297B2B"/>
    <w:rsid w:val="00317EC2"/>
    <w:rsid w:val="00321342"/>
    <w:rsid w:val="00350441"/>
    <w:rsid w:val="00350E3A"/>
    <w:rsid w:val="0035163C"/>
    <w:rsid w:val="003700F3"/>
    <w:rsid w:val="003723EA"/>
    <w:rsid w:val="00385CE4"/>
    <w:rsid w:val="003C5498"/>
    <w:rsid w:val="003E4DC7"/>
    <w:rsid w:val="003F1A5A"/>
    <w:rsid w:val="0041447A"/>
    <w:rsid w:val="00465D3C"/>
    <w:rsid w:val="004C588F"/>
    <w:rsid w:val="004E34CA"/>
    <w:rsid w:val="00546DFE"/>
    <w:rsid w:val="005603CB"/>
    <w:rsid w:val="005F23BD"/>
    <w:rsid w:val="006214BA"/>
    <w:rsid w:val="00627703"/>
    <w:rsid w:val="00662943"/>
    <w:rsid w:val="00681645"/>
    <w:rsid w:val="00691AD5"/>
    <w:rsid w:val="006B083C"/>
    <w:rsid w:val="006D58C2"/>
    <w:rsid w:val="007A4F9B"/>
    <w:rsid w:val="007D3958"/>
    <w:rsid w:val="0080330B"/>
    <w:rsid w:val="0084649E"/>
    <w:rsid w:val="00855AEA"/>
    <w:rsid w:val="00882826"/>
    <w:rsid w:val="008906E7"/>
    <w:rsid w:val="00980553"/>
    <w:rsid w:val="009B74D0"/>
    <w:rsid w:val="00AC36B5"/>
    <w:rsid w:val="00B32BEB"/>
    <w:rsid w:val="00B70AFE"/>
    <w:rsid w:val="00BB4F3B"/>
    <w:rsid w:val="00C101B9"/>
    <w:rsid w:val="00CC7390"/>
    <w:rsid w:val="00D14840"/>
    <w:rsid w:val="00D86431"/>
    <w:rsid w:val="00E12924"/>
    <w:rsid w:val="00F54D3F"/>
    <w:rsid w:val="00FD7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FE"/>
    <w:pPr>
      <w:jc w:val="both"/>
    </w:pPr>
    <w:rPr>
      <w:rFonts w:ascii="Times New Roman" w:hAnsi="Times New Roman"/>
      <w:sz w:val="24"/>
      <w:lang w:val="es-ES_tradnl" w:eastAsia="es-ES"/>
    </w:rPr>
  </w:style>
  <w:style w:type="paragraph" w:styleId="Heading1">
    <w:name w:val="heading 1"/>
    <w:basedOn w:val="Normal"/>
    <w:next w:val="Normal"/>
    <w:link w:val="Heading1Char"/>
    <w:uiPriority w:val="9"/>
    <w:qFormat/>
    <w:rsid w:val="0084649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4649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49E"/>
    <w:rPr>
      <w:rFonts w:asciiTheme="majorHAnsi" w:eastAsiaTheme="majorEastAsia" w:hAnsiTheme="majorHAnsi" w:cstheme="majorBidi"/>
      <w:b/>
      <w:bCs/>
      <w:kern w:val="32"/>
      <w:sz w:val="32"/>
      <w:szCs w:val="32"/>
      <w:lang w:val="es-ES_tradnl" w:eastAsia="es-ES"/>
    </w:rPr>
  </w:style>
  <w:style w:type="character" w:customStyle="1" w:styleId="Heading2Char">
    <w:name w:val="Heading 2 Char"/>
    <w:basedOn w:val="DefaultParagraphFont"/>
    <w:link w:val="Heading2"/>
    <w:uiPriority w:val="9"/>
    <w:semiHidden/>
    <w:rsid w:val="0084649E"/>
    <w:rPr>
      <w:rFonts w:asciiTheme="majorHAnsi" w:eastAsiaTheme="majorEastAsia" w:hAnsiTheme="majorHAnsi" w:cstheme="majorBidi"/>
      <w:b/>
      <w:bCs/>
      <w:i/>
      <w:iCs/>
      <w:sz w:val="28"/>
      <w:szCs w:val="28"/>
      <w:lang w:val="es-ES_tradnl" w:eastAsia="es-ES"/>
    </w:rPr>
  </w:style>
  <w:style w:type="paragraph" w:styleId="NormalWeb">
    <w:name w:val="Normal (Web)"/>
    <w:basedOn w:val="Normal"/>
    <w:uiPriority w:val="99"/>
    <w:unhideWhenUsed/>
    <w:rsid w:val="00465D3C"/>
    <w:pPr>
      <w:spacing w:before="100" w:beforeAutospacing="1" w:after="100" w:afterAutospacing="1"/>
      <w:jc w:val="left"/>
    </w:pPr>
    <w:rPr>
      <w:rFonts w:eastAsia="Times New Roman"/>
      <w:szCs w:val="24"/>
      <w:lang w:val="en-US" w:eastAsia="en-US"/>
    </w:rPr>
  </w:style>
  <w:style w:type="paragraph" w:customStyle="1" w:styleId="Default">
    <w:name w:val="Default"/>
    <w:rsid w:val="00BB4F3B"/>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AC36B5"/>
    <w:pPr>
      <w:ind w:left="720"/>
      <w:contextualSpacing/>
    </w:pPr>
  </w:style>
  <w:style w:type="character" w:styleId="Hyperlink">
    <w:name w:val="Hyperlink"/>
    <w:rsid w:val="003F1A5A"/>
    <w:rPr>
      <w:color w:val="0000FF"/>
      <w:u w:val="single"/>
    </w:rPr>
  </w:style>
  <w:style w:type="character" w:styleId="Strong">
    <w:name w:val="Strong"/>
    <w:basedOn w:val="DefaultParagraphFont"/>
    <w:uiPriority w:val="22"/>
    <w:qFormat/>
    <w:rsid w:val="003F1A5A"/>
    <w:rPr>
      <w:b/>
      <w:bCs/>
    </w:rPr>
  </w:style>
  <w:style w:type="table" w:styleId="TableGrid">
    <w:name w:val="Table Grid"/>
    <w:basedOn w:val="TableNormal"/>
    <w:uiPriority w:val="59"/>
    <w:rsid w:val="00CC7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93AC6"/>
    <w:pPr>
      <w:jc w:val="left"/>
    </w:pPr>
    <w:rPr>
      <w:rFonts w:ascii="Verdana" w:eastAsia="Times New Roman" w:hAnsi="Verdana"/>
      <w:sz w:val="22"/>
      <w:szCs w:val="24"/>
      <w:lang w:val="en-US" w:eastAsia="en-US"/>
    </w:rPr>
  </w:style>
  <w:style w:type="character" w:customStyle="1" w:styleId="BodyTextChar">
    <w:name w:val="Body Text Char"/>
    <w:basedOn w:val="DefaultParagraphFont"/>
    <w:link w:val="BodyText"/>
    <w:rsid w:val="00293AC6"/>
    <w:rPr>
      <w:rFonts w:ascii="Verdana" w:eastAsia="Times New Roman" w:hAnsi="Verdana"/>
      <w:sz w:val="22"/>
      <w:szCs w:val="24"/>
    </w:rPr>
  </w:style>
</w:styles>
</file>

<file path=word/webSettings.xml><?xml version="1.0" encoding="utf-8"?>
<w:webSettings xmlns:r="http://schemas.openxmlformats.org/officeDocument/2006/relationships" xmlns:w="http://schemas.openxmlformats.org/wordprocessingml/2006/main">
  <w:divs>
    <w:div w:id="150218866">
      <w:bodyDiv w:val="1"/>
      <w:marLeft w:val="0"/>
      <w:marRight w:val="0"/>
      <w:marTop w:val="0"/>
      <w:marBottom w:val="0"/>
      <w:divBdr>
        <w:top w:val="none" w:sz="0" w:space="0" w:color="auto"/>
        <w:left w:val="none" w:sz="0" w:space="0" w:color="auto"/>
        <w:bottom w:val="none" w:sz="0" w:space="0" w:color="auto"/>
        <w:right w:val="none" w:sz="0" w:space="0" w:color="auto"/>
      </w:divBdr>
      <w:divsChild>
        <w:div w:id="383256434">
          <w:marLeft w:val="0"/>
          <w:marRight w:val="0"/>
          <w:marTop w:val="0"/>
          <w:marBottom w:val="0"/>
          <w:divBdr>
            <w:top w:val="none" w:sz="0" w:space="0" w:color="auto"/>
            <w:left w:val="none" w:sz="0" w:space="0" w:color="auto"/>
            <w:bottom w:val="none" w:sz="0" w:space="0" w:color="auto"/>
            <w:right w:val="none" w:sz="0" w:space="0" w:color="auto"/>
          </w:divBdr>
        </w:div>
        <w:div w:id="572785937">
          <w:marLeft w:val="0"/>
          <w:marRight w:val="0"/>
          <w:marTop w:val="0"/>
          <w:marBottom w:val="0"/>
          <w:divBdr>
            <w:top w:val="none" w:sz="0" w:space="0" w:color="auto"/>
            <w:left w:val="none" w:sz="0" w:space="0" w:color="auto"/>
            <w:bottom w:val="none" w:sz="0" w:space="0" w:color="auto"/>
            <w:right w:val="none" w:sz="0" w:space="0" w:color="auto"/>
          </w:divBdr>
        </w:div>
        <w:div w:id="1491748315">
          <w:marLeft w:val="0"/>
          <w:marRight w:val="0"/>
          <w:marTop w:val="0"/>
          <w:marBottom w:val="0"/>
          <w:divBdr>
            <w:top w:val="none" w:sz="0" w:space="0" w:color="auto"/>
            <w:left w:val="none" w:sz="0" w:space="0" w:color="auto"/>
            <w:bottom w:val="none" w:sz="0" w:space="0" w:color="auto"/>
            <w:right w:val="none" w:sz="0" w:space="0" w:color="auto"/>
          </w:divBdr>
        </w:div>
      </w:divsChild>
    </w:div>
    <w:div w:id="668680282">
      <w:bodyDiv w:val="1"/>
      <w:marLeft w:val="0"/>
      <w:marRight w:val="0"/>
      <w:marTop w:val="0"/>
      <w:marBottom w:val="0"/>
      <w:divBdr>
        <w:top w:val="none" w:sz="0" w:space="0" w:color="auto"/>
        <w:left w:val="none" w:sz="0" w:space="0" w:color="auto"/>
        <w:bottom w:val="none" w:sz="0" w:space="0" w:color="auto"/>
        <w:right w:val="none" w:sz="0" w:space="0" w:color="auto"/>
      </w:divBdr>
    </w:div>
    <w:div w:id="1032342660">
      <w:bodyDiv w:val="1"/>
      <w:marLeft w:val="0"/>
      <w:marRight w:val="0"/>
      <w:marTop w:val="0"/>
      <w:marBottom w:val="0"/>
      <w:divBdr>
        <w:top w:val="none" w:sz="0" w:space="0" w:color="auto"/>
        <w:left w:val="none" w:sz="0" w:space="0" w:color="auto"/>
        <w:bottom w:val="none" w:sz="0" w:space="0" w:color="auto"/>
        <w:right w:val="none" w:sz="0" w:space="0" w:color="auto"/>
      </w:divBdr>
    </w:div>
    <w:div w:id="104977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s.ohio-state.edu/" TargetMode="External"/><Relationship Id="rId3" Type="http://schemas.openxmlformats.org/officeDocument/2006/relationships/settings" Target="settings.xml"/><Relationship Id="rId7" Type="http://schemas.openxmlformats.org/officeDocument/2006/relationships/hyperlink" Target="mailto:slds@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life.osu.edu/csc/" TargetMode="External"/><Relationship Id="rId5" Type="http://schemas.openxmlformats.org/officeDocument/2006/relationships/hyperlink" Target="mailto:maccolman.2@o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MacColman</dc:creator>
  <cp:lastModifiedBy>Leslie MacColman</cp:lastModifiedBy>
  <cp:revision>8</cp:revision>
  <dcterms:created xsi:type="dcterms:W3CDTF">2021-02-26T17:43:00Z</dcterms:created>
  <dcterms:modified xsi:type="dcterms:W3CDTF">2021-02-27T06:05:00Z</dcterms:modified>
</cp:coreProperties>
</file>